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ISTVÁN</w:t>
            </w:r>
          </w:p>
          <w:p w:rsidR="00C275A3" w:rsidRDefault="00A96AEC" w:rsidP="00C275A3">
            <w:pPr>
              <w:pStyle w:val="Hallgatokepzes"/>
            </w:pPr>
            <w:r>
              <w:t>Szerves anyagok kémiája és technológiája, kőolaj- és szénkémia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 - Bolyai Tudományegyetem</w:t>
            </w:r>
            <w:r w:rsidR="00C275A3">
              <w:br/>
            </w:r>
            <w:r w:rsidR="00DB4822">
              <w:t>Kémia és Vegyészmérnöki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Csavdári Alexandra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kutató,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morfológiájú WO3 nanokristályok előállítása és fotokatalitikus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Volfram-trioxid, hidrotermális kezelés, fotokatalikus aktivitás, kristálytani “alakszabászat”, nanokompozitok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alakú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félvezetőket és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/TiO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nanokompozitokat állítottunk elő volframsavból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), nátrium-volframát-hidrátból (Na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∙2H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 és ammónium metavolframát-hidrátból ((NH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W</w:t>
      </w:r>
      <w:r>
        <w:rPr>
          <w:color w:val="000000"/>
          <w:position w:val="-4"/>
          <w:sz w:val="21"/>
          <w:szCs w:val="21"/>
          <w:vertAlign w:val="subscript"/>
        </w:rPr>
        <w:t xml:space="preserve">12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40</w:t>
      </w:r>
      <w:r>
        <w:rPr>
          <w:color w:val="000000"/>
          <w:sz w:val="24"/>
          <w:szCs w:val="24"/>
        </w:rPr>
        <w:t xml:space="preserve">∙xH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O), hidrotermális kristályosítást alkalmazva a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előállítás esetében. Az így előállított nanokristályos anyagokat úgy szerkezetileg, mint morfológiailag sikeresen jellemeztük különböző méréstechnikákkal (TEM, SEM, XRD és DRS). A fotokatalitikus aktivitásuk meghatározására UV és/vagy látható fény megvilágítás mellett fenolt, metil-narancsot és oxálsavat bontottunk.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15513">
    <w:multiLevelType w:val="hybridMultilevel"/>
    <w:lvl w:ilvl="0" w:tplc="98343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15513">
    <w:abstractNumId w:val="96415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564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