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SZUCS</w:t>
            </w:r>
          </w:p>
          <w:p w:rsidR="00C275A3" w:rsidRDefault="00A96AEC" w:rsidP="00C275A3">
            <w:pPr>
              <w:pStyle w:val="Hallgatokepzes"/>
            </w:pPr>
            <w:r>
              <w:t>Teology-Music-Education</w:t>
            </w:r>
            <w:r>
              <w:br/>
            </w:r>
            <w:r w:rsidR="00E77B23">
              <w:t>MA, 2. semester</w:t>
            </w:r>
          </w:p>
          <w:p w:rsidR="00C265CE" w:rsidRPr="009E5FF1" w:rsidRDefault="00E77B23" w:rsidP="009763E0">
            <w:pPr>
              <w:pStyle w:val="Hallgatointezmeny-kar"/>
              <w:rPr>
                <w:b/>
                <w:caps/>
              </w:rPr>
            </w:pPr>
            <w:r>
              <w:t>Babes-Bólyai Unicersity</w:t>
            </w:r>
            <w:r w:rsidR="00C275A3">
              <w:br/>
            </w:r>
            <w:r w:rsidR="00DB4822">
              <w:t>Faculty of Reformed Teology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Eva Peter</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Invisible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music education of the visually impaired has been one of my major concerns for a long time. The primary ambitions of my paper are to present the development and the phases of vision problems as well as to outline the possibilities of music education for the visually impaired. For several decades, there have been various means at our disposal to help in attaching a growing importance to tactile perception in the education of the visually impaired. There is a rich tool-box available, out of which Louis Braille’s writing system is worth mentioning first of all. In it, we can find the corresponding signs for the written record of music, which make it possible for the visually impaired to read music. With the help of these tools and the methods of teaching music, we can realize Zoltán Kodály’s idea: ‘music should belong to everyone’.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88834">
    <w:multiLevelType w:val="hybridMultilevel"/>
    <w:lvl w:ilvl="0" w:tplc="46610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88834">
    <w:abstractNumId w:val="25088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740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