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BORDAS</w:t>
            </w:r>
          </w:p>
          <w:p w:rsidR="00C275A3" w:rsidRDefault="00A96AEC" w:rsidP="00C275A3">
            <w:pPr>
              <w:pStyle w:val="Hallgatokepzes"/>
            </w:pPr>
            <w:r>
              <w:t>Corporate financial management</w:t>
            </w:r>
            <w:r>
              <w:br/>
            </w:r>
            <w:r w:rsidR="00E77B23">
              <w:t>MA, 4. semester</w:t>
            </w:r>
          </w:p>
          <w:p w:rsidR="00C265CE" w:rsidRPr="009E5FF1" w:rsidRDefault="00E77B23" w:rsidP="00C275A3">
            <w:pPr>
              <w:pStyle w:val="Hallgatokepzes"/>
              <w:rPr>
                <w:b/>
                <w:caps/>
              </w:rPr>
            </w:pPr>
            <w:r>
              <w:t>Babeș-Bolyai University</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Annamária Benyovszki, PhD </w:t>
            </w:r>
          </w:p>
          <w:p w:rsidR="00DB4822" w:rsidRDefault="00DB4822" w:rsidP="00E11062">
            <w:pPr>
              <w:pStyle w:val="Konzulensek"/>
            </w:pPr>
            <w:r w:rsidRPr="00DB4822">
              <w:t>associate professor and head of department,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country risk to corporate credit risk: the spillover effect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Country Risk, Credit Risk, Spillover Effect, CAPM</w:t>
      </w:r>
      <w:r>
        <w:t xml:space="preserve"/>
      </w:r>
    </w:p>
    <w:p>
      <w:pPr>
        <w:widowControl w:val="on"/>
        <w:pBdr/>
        <w:spacing w:before="240" w:after="240" w:line="240" w:lineRule="auto"/>
        <w:ind w:left="0" w:right="0"/>
        <w:jc w:val="left"/>
      </w:pPr>
      <w:r>
        <w:rPr>
          <w:color w:val="000000"/>
          <w:sz w:val="24"/>
          <w:szCs w:val="24"/>
        </w:rPr>
        <w:t xml:space="preserve">The aim of this research is to analyze the relationship between country risk and corporate credit risk, as one of the biggest issues in our current economy is the existence of the spillover effect, which is highly responsible for many chain reactions. The first part of the study focuses on the fact that companies in developing countries are exposed to a higher country risk than companies operating in developed countries. The second part examines and quantifies the country risk by using default spreads. The Capital Asset Pricing Model (CAPM) can be fine-tuned by incorporating these default spreads into the model, thus proving the spillover effect. Using these results the paper analyzes the expected returns of nine Romanian companies from six different industries, listed on the stock exchange. Lastly, the expected return of a Romanian and a Hungarian pharmaceutical company will be compared.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35567">
    <w:multiLevelType w:val="hybridMultilevel"/>
    <w:lvl w:ilvl="0" w:tplc="35704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35567">
    <w:abstractNumId w:val="912355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67957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