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ADÉL SZABÓ</w:t>
            </w:r>
          </w:p>
          <w:p w:rsidR="00C275A3" w:rsidRDefault="00A96AEC" w:rsidP="00C275A3">
            <w:pPr>
              <w:pStyle w:val="Hallgatokepzes"/>
            </w:pPr>
            <w:r>
              <w:t>Communication and PR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Babes–Bolyai University</w:t>
            </w:r>
            <w:r w:rsidR="00C275A3">
              <w:br/>
            </w:r>
            <w:r w:rsidR="00DB4822">
              <w:t>Faculty of Political, Administrative and Communication Science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Noémi Zörgő</w:t>
            </w:r>
          </w:p>
          <w:p w:rsidR="00DB4822" w:rsidRDefault="00DB4822" w:rsidP="009763E0">
            <w:pPr>
              <w:pStyle w:val="Konzulensektitulus"/>
            </w:pPr>
            <w:r w:rsidRPr="00DB4822">
              <w:t>assistant professor, BBTE 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Magdolna Márta Vallasek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BBTE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Ethical orientation in case of crimes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thesis explores the appearance of a murder case in the press and within this the manner in which journalists inform the public. In order to better deepen into the subject the thesis raises questions like: what is the borderline between ethics and morality, what can be acceptable from the publicized information, what kind of common points do journalism and law have, and how well-controlled press in Romania is.</w:t>
      </w:r>
      <w:r>
        <w:rPr>
          <w:color w:val="000000"/>
          <w:sz w:val="24"/>
          <w:szCs w:val="24"/>
        </w:rPr>
        <w:br/>
        <w:t xml:space="preserve">My research method is based on content analysis, both the quantitative and the qualitative aspect of it. Firstly, I have analysed the 67 examined articles with the help of code pages through which I have tested the question of journalistic subjectivity and objectivity. Secondly, I have analysed the phrasing modalities and outlined the possible normative expressions. Arriving to the ethical issues I have identified the unethical manifestations with the help of the available regulations. The communication mode of the uncertain, often gossip-based information together with details about the private life of the suspect as proof of sensation seeking have also appeared in the paper.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123095">
    <w:multiLevelType w:val="hybridMultilevel"/>
    <w:lvl w:ilvl="0" w:tplc="12639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123095">
    <w:abstractNumId w:val="5612309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2288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