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ZSÓFIA</w:t>
            </w:r>
          </w:p>
          <w:p w:rsidR="00C275A3" w:rsidRDefault="00A96AEC" w:rsidP="00C275A3">
            <w:pPr>
              <w:pStyle w:val="Hallgatokepzes"/>
            </w:pPr>
            <w:r>
              <w:t>magyar nyelv és irodalom - német nyelv és irodalom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Bölcsészettudományi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Gábor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maradvák változatlan, örökös emlékezetinek bizonyságaként Apor Péter Metamorphosisáról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1736-os keltezésű Metamorphosis Transylvaniae-t, mely az Erdélyben a Habsburg-uralom 1687-es installációja nyomán bekövetkezett változásokat tárgyalja, Apor Péter nagyvonalúan az utódok, a mindenkori „maradvák” örökös emlékezetébe ajánlotta. Dolgozatom a XVIII. század óta némileg reflektálatlanul emblémává írt szöveg vizsgálatára vállalkozik, dialógusba lépve az eddigi szakirodalom több darabjával is.</w:t>
      </w:r>
      <w:r>
        <w:rPr>
          <w:color w:val="000000"/>
          <w:sz w:val="24"/>
          <w:szCs w:val="24"/>
        </w:rPr>
        <w:br/>
        <w:t xml:space="preserve">Így hívja fel először a figyelmet Cserei Mihály „társszerzőségének” gyakran mellőzött tényére, ebből adódóan a korpusz sajátos körülhatárolhatatlanságára. A következtetés: Apor markáns írói öntudata megfér mástól jelöletlenül, szó szerint átvett szövegrészletekkel.</w:t>
      </w:r>
      <w:r>
        <w:rPr>
          <w:color w:val="000000"/>
          <w:sz w:val="24"/>
          <w:szCs w:val="24"/>
        </w:rPr>
        <w:br/>
        <w:t xml:space="preserve">A műfaji kérdések tárgyalásakor az a meglátás adódik, hogy egyelőre nincsen a Metamorphosis számára befogadó paradigma, bár az emlékező próza számos válfaja mellett vizuálisabb médiumok (pl. ekphraszisz), illetve egyedi megjelölések („életírás, „regény-chaos”) is szóba jöhetnek.</w:t>
      </w:r>
      <w:r>
        <w:rPr>
          <w:color w:val="000000"/>
          <w:sz w:val="24"/>
          <w:szCs w:val="24"/>
        </w:rPr>
        <w:br/>
        <w:t xml:space="preserve">Az elemzés azt is nyomon követi, a tárgyi kultúra és szokásrend számos eleme (pl. a kocsis szakálla) mellett hogyan válik a szöveg maga az emlékezet helyévé, miközben az „erdélyiség” egyik fontos alapító diskurzusaként működik, egyfajta „pedagogikus”, „intézményes” emlékezetet működtetve.</w:t>
      </w:r>
      <w:r>
        <w:rPr>
          <w:color w:val="000000"/>
          <w:sz w:val="24"/>
          <w:szCs w:val="24"/>
        </w:rPr>
        <w:br/>
        <w:t xml:space="preserve">Egy tágabb körben, a keletkezés körülményeit is figyelembe véve megmutatja, milyen markáns befolyást gyakorol a szerző felekezeti és politikai elkötelezettsége szövegének nyelvhasználati, stiláris sajátosságaira, az egyes „erdélyi ember” exponenséből hogy lesz a „mi, szegény katolikusok” képviselője.</w:t>
      </w:r>
      <w:r>
        <w:rPr>
          <w:color w:val="000000"/>
          <w:sz w:val="24"/>
          <w:szCs w:val="24"/>
        </w:rPr>
        <w:br/>
        <w:t xml:space="preserve">A munka a záró fejezetében, a komikum néhány ismert elmélete nyomán és az Aporról, „a dohogóról” festett sztereotipikus képet árnyalandó, arra világít rá, hogy az Apor által a Metamorphosis Transylvaniae-ben ábrázolt „régi, együgyű” világ – világraszóló lakomáival, farsangoló népével –, néhány fenntartással ugyan, de akár állandósult karneválként is olvasható.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08743">
    <w:multiLevelType w:val="hybridMultilevel"/>
    <w:lvl w:ilvl="0" w:tplc="31846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08743">
    <w:abstractNumId w:val="36608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741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