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MOLNÁR</w:t>
            </w:r>
          </w:p>
          <w:p w:rsidR="00C275A3" w:rsidRDefault="00A96AEC" w:rsidP="00C275A3">
            <w:pPr>
              <w:pStyle w:val="Hallgatokepzes"/>
            </w:pPr>
            <w:r>
              <w:t>Hungarian language and literature - German language and literature</w:t>
            </w:r>
            <w:r>
              <w:br/>
            </w:r>
            <w:r w:rsidR="00E77B23">
              <w:t>BA, 6. semester</w:t>
            </w:r>
          </w:p>
          <w:p w:rsidR="00C265CE" w:rsidRPr="009E5FF1" w:rsidRDefault="00E77B23" w:rsidP="00C275A3">
            <w:pPr>
              <w:pStyle w:val="Hallgatokepzes"/>
              <w:rPr>
                <w:b/>
                <w:caps/>
              </w:rPr>
            </w:pPr>
            <w:r>
              <w:t>Babeş-Bolyai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Gábor</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Péter Apor's Metamorphosis Transylvaniae as lieu de mémoire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Péter Apor dedicated his memoir entitled Metamorphosis Transylvaniae – written in 1736 and discussing the break that, in the form of the Habsburg installation in 1687, affected the former “traditional”, “simple and lowly” lifestyle of the inhabitants of Transylvania – to the never-fading memory of the posterity. This utopian, nevertheless interesting will makes one consider the nature and laws of changes. My paper examines this 18th century-, today somewhat emblematical text, referring in the same time to the relevant literature of the field. Firstly, it draws the attention upon the neglected fact that Mihály Cserei worked as a joint-author on the memoir. This sheds a peculiar light upon the problem of its authorship. As about the aspect of the genre, it can be concluded that it still does not exist a proper paradigm that would embrace the Metamorphosis Transylvaniae, although many forms of prose and visual media may come into question. The analysis tracks the process of the text becoming a lieu de mémoire, while this operates as a founder of the “Transylvanist” discourse. As a further point, taking into consideration the historical context, the paper shows the lexical and stylistic flavors of Apor’s language that are remarkably influenced by his national and religious identity. In its last chapter, based upon some well-known theories of the humor, my work suggests that the above mentioned “simple and lowly” habit of the Transylvanian folk, as it appears in the memoire of Péter Apor, may in fact be interpreted as a steady-state carnival.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08838">
    <w:multiLevelType w:val="hybridMultilevel"/>
    <w:lvl w:ilvl="0" w:tplc="48809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08838">
    <w:abstractNumId w:val="45508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824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