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LADÓ</w:t>
            </w:r>
          </w:p>
          <w:p w:rsidR="00C275A3" w:rsidRDefault="00A96AEC" w:rsidP="00C275A3">
            <w:pPr>
              <w:pStyle w:val="Hallgatokepzes"/>
            </w:pPr>
            <w:r>
              <w:t>The Research and Developement of Cultural Heritage</w:t>
            </w:r>
            <w:r>
              <w:br/>
            </w:r>
            <w:r w:rsidR="00E77B23">
              <w:t>MA, 4. semester</w:t>
            </w:r>
          </w:p>
          <w:p w:rsidR="00C265CE" w:rsidRPr="009E5FF1" w:rsidRDefault="00E77B23" w:rsidP="00C275A3">
            <w:pPr>
              <w:pStyle w:val="Hallgatokepzes"/>
              <w:rPr>
                <w:b/>
                <w:caps/>
              </w:rPr>
            </w:pPr>
            <w:r>
              <w:t>Babeș-Bolyai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Kovács</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Building of a New School in Csíkszereda (Miercurea Ciuc) of the Transylvanian Roman Catholic Status at the Beginning of the 20th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public education law-enactment accepted in 1868, after the Austro-Hungarian conciliation, during József Eötvös’s ministerial mandate as Minister of Religion and Public Education, set forth many directives, such as the introduction of public education, the need of qualified administrative staff, modern sanitary and educational conditions. The ordonnance triggered modernization in the field of school constructions and led to the setting of new types of school buildings. The Transylvanian Catholic Status had also built several gymnasia at the beginning of the 20th century across Szekler Land: for example in Kézdivásárhely (Târgu Secuiesc), Székelyudvarhely (Odorheiu Secuiesc) and Csíkszereda (Miercurea Ciuc). The latter gymnasium bulding is perhaps the most significant and most stateful one regarding its dimensions and appearance. The choice of the topic for the present paper lays in the fact that the gymnasium building of Csíkszereda (Miercurea Ciuc), though its significance, is not elaborated in the field of art historian researches. In the present paper, I try to answer some key questions related to the planning of the gymnasium by reconstructing its early arhitectural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98734">
    <w:multiLevelType w:val="hybridMultilevel"/>
    <w:lvl w:ilvl="0" w:tplc="75544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98734">
    <w:abstractNumId w:val="89098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853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