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CECÍLIA</w:t>
            </w:r>
          </w:p>
          <w:p w:rsidR="00C275A3" w:rsidRDefault="00A96AEC" w:rsidP="00C275A3">
            <w:pPr>
              <w:pStyle w:val="Hallgatokepzes"/>
            </w:pPr>
            <w:r>
              <w:t>Magyar Néprajz és Kulturális Antropológia Intézet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Babeş–Bolyai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Keszeg Vilmos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„...hepe-hupa mindenféle...” Csíkszentsimoni hiedelmek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csíkszentsimoniak mindennapi életének kognitív kontextusát a tudomány – vallás – mágia egymásba fonódó, egymást kiegészítő, párhuzamosan létező rendszere képezi. Dolgozatomban, az elmúlt két évben végzett terepkutatásra alapozva, a közösségi emlékezet keretében áthagyományozódó mágikus tudásanyag és cselekvések rendszerezésére, valamint elemzésére vállalkozom.</w:t>
      </w:r>
      <w:r>
        <w:rPr>
          <w:color w:val="000000"/>
          <w:sz w:val="24"/>
          <w:szCs w:val="24"/>
        </w:rPr>
        <w:br/>
        <w:t xml:space="preserve">      A néphit, népi vallásosság és az egyházi nézetek keveredésével jellemezhető vallásos mentalitásban különválasztom a rituális szövegmondást, az imákat és ráolvasó szövegeket, valamint a mágikus gyakorlatokat. A hiedelemtudás bemutatásának, leírásának keretét a néprajzi szakirodalomban elfogadott, a szokáscselekvéseknek irányultság szerinti osztályozása – megelőzés, serkentés, gyógyítás, rontás, jóslás – adja.</w:t>
      </w:r>
      <w:r>
        <w:rPr>
          <w:color w:val="000000"/>
          <w:sz w:val="24"/>
          <w:szCs w:val="24"/>
        </w:rPr>
        <w:br/>
        <w:t xml:space="preserve">      A helyi társadalom és a hiedelmek társadalomnéprajzi vetületű vizsgálatában a következő elemzési szempontok érvényesülnek:</w:t>
      </w:r>
      <w:r>
        <w:rPr>
          <w:color w:val="000000"/>
          <w:sz w:val="24"/>
          <w:szCs w:val="24"/>
        </w:rPr>
        <w:br/>
        <w:t xml:space="preserve">       1. életkorok, életszakaszok és hiedelmek</w:t>
      </w:r>
      <w:r>
        <w:rPr>
          <w:color w:val="000000"/>
          <w:sz w:val="24"/>
          <w:szCs w:val="24"/>
        </w:rPr>
        <w:br/>
        <w:t xml:space="preserve">       2. nemek: férfiak és nők hiedelmei</w:t>
      </w:r>
      <w:r>
        <w:rPr>
          <w:color w:val="000000"/>
          <w:sz w:val="24"/>
          <w:szCs w:val="24"/>
        </w:rPr>
        <w:br/>
        <w:t xml:space="preserve">       3. munkamegosztás: foglalkozások és hiedelmek</w:t>
      </w:r>
      <w:r>
        <w:rPr>
          <w:color w:val="000000"/>
          <w:sz w:val="24"/>
          <w:szCs w:val="24"/>
        </w:rPr>
        <w:br/>
        <w:t xml:space="preserve">Érdeklődésem továbbá olyan más aspektusokra irányul, mint a cselekvési rendszerek alkalmazásának területe és használatának funkciói, a kollektív és egyéni attitűdök, az egyéni és kollektív stratégiák és a hiedelemhasználati habitusok.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52952">
    <w:multiLevelType w:val="hybridMultilevel"/>
    <w:lvl w:ilvl="0" w:tplc="24845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52952">
    <w:abstractNumId w:val="69152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503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