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GÁLL ERIKA</w:t>
            </w:r>
          </w:p>
          <w:p w:rsidR="00C275A3" w:rsidRDefault="00A96AEC" w:rsidP="00C275A3">
            <w:pPr>
              <w:pStyle w:val="Hallgatokepzes"/>
            </w:pPr>
            <w:r>
              <w:t>Nemzetközi kapcsolatok és európai tanulmányok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EMTE Kolozsvár</w:t>
            </w:r>
            <w:r w:rsidR="00C275A3">
              <w:br/>
            </w:r>
            <w:r w:rsidR="00DB4822">
              <w:t>Természettudományi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KESZEG JENŐ</w:t>
            </w:r>
          </w:p>
          <w:p w:rsidR="00DB4822" w:rsidRDefault="00C275A3" w:rsidP="004D7940">
            <w:pPr>
              <w:pStyle w:val="Hallgatokepzes"/>
            </w:pPr>
            <w:r>
              <w:t>Nemzetközi kapcsolatok és európai tanulmányok</w:t>
            </w:r>
            <w:r w:rsidR="00A96AEC">
              <w:br/>
              <w:t>BA,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EMTE Kolozsvár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Művészeti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Toró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tanügyi rendszer működésének vizsgálata a magyar nyelv és irodalom oktatás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2013–2014-es tanévben a Sapientia EMTE Jogtudományi és Európai Tanulmányok Tanszékének tutoriális programja keretében végzett kutatás eredménye. Kutatásunk során a román tanügyi rendszer működésének, oktatáspolitikájának és belső intézményi folyamatainak feltérképezésére tettünk kísérletet a magyar nyelv és irodalomoktatás vonatkozásában.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román oktatáspolitika a tanügyi rendszert, és ezen belül az anyanyelvi magyar nyelv- és irodalomoktatást tartalmi szempontból a tanterv és az országos vizsgák által szabályozza. Az említett dokumentumok mellett az anyanyelvi oktatásban kiemelkedő szerepet játszanak a magyar nyelv és irodalomtankönyvek, melyek a tanterv gyakorlatba ültetésének eszközei a tanulási-tanítási folyamatban. A tanulmány célja tehát feltárni azokat a döntéshozatali mechanizmusokat, melyek az említett dokumentumok létrejövésében játszanak szerepet. Kutatásunk során a vonatkozó jogszabályokat elemeztük és feltártuk a jogi normák és gyakorlati működés közötti eltéréseket, valamint az azokból fakadó problémákat.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oktatáspolitika, magyar nyelv és irodalomoktatás, tanterv, vizsgarendszer, tankönyv, jogi normák, szakmai szempont, önkéntes munkavégzés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58529">
    <w:multiLevelType w:val="hybridMultilevel"/>
    <w:lvl w:ilvl="0" w:tplc="897932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58529">
    <w:abstractNumId w:val="39458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468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