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GÁLL</w:t>
            </w:r>
          </w:p>
          <w:p w:rsidR="00C275A3" w:rsidRDefault="00A96AEC" w:rsidP="00C275A3">
            <w:pPr>
              <w:pStyle w:val="Hallgatokepzes"/>
            </w:pPr>
            <w:r>
              <w:t>International Relation and European Studies Specialization</w:t>
            </w:r>
            <w:r>
              <w:br/>
            </w:r>
            <w:r w:rsidR="00E77B23">
              <w:t>BA, 2. semester</w:t>
            </w:r>
          </w:p>
          <w:p w:rsidR="00C265CE" w:rsidRPr="009E5FF1" w:rsidRDefault="00E77B23" w:rsidP="009763E0">
            <w:pPr>
              <w:pStyle w:val="Hallgatointezmeny-kar"/>
              <w:rPr>
                <w:b/>
                <w:caps/>
              </w:rPr>
            </w:pPr>
            <w:r>
              <w:t>Sapientia Hungarian University of Transylvania</w:t>
            </w:r>
            <w:r w:rsidR="00C275A3">
              <w:br/>
            </w:r>
            <w:r w:rsidR="00DB4822">
              <w:t>Faculty of Sciences and Arts</w:t>
            </w:r>
          </w:p>
        </w:tc>
        <w:tc>
          <w:tcPr>
            <w:tcW w:w="4914" w:type="dxa"/>
          </w:tcPr>
          <w:p w:rsidR="00DB4822" w:rsidRPr="00DB4822" w:rsidRDefault="00DB4822" w:rsidP="004D7940">
            <w:pPr>
              <w:pStyle w:val="Hallgatonev"/>
              <w:rPr>
                <w:caps/>
              </w:rPr>
            </w:pPr>
            <w:r w:rsidRPr="00DB4822">
              <w:rPr>
                <w:caps/>
              </w:rPr>
              <w:t>JENŐ KESZEG</w:t>
            </w:r>
          </w:p>
          <w:p w:rsidR="00DB4822" w:rsidRDefault="00C275A3" w:rsidP="004D7940">
            <w:pPr>
              <w:pStyle w:val="Hallgatokepzes"/>
            </w:pPr>
            <w:r>
              <w:t>International Relation and European Studies Specialization</w:t>
            </w:r>
            <w:r w:rsidR="00A96AEC">
              <w:br/>
              <w:t>BA,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Sciences and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Toró</w:t>
            </w:r>
          </w:p>
          <w:p w:rsidR="00DB4822" w:rsidRDefault="00DB4822" w:rsidP="009763E0">
            <w:pPr>
              <w:pStyle w:val="Konzulensektitulus"/>
            </w:pPr>
            <w:r w:rsidRPr="00DB4822">
              <w:t>professor’s assistant,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the education system based on the Hungarian language and literature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based on a research conducted during the 2013–2014tutorial program of the Sapientia Hungarian University of Transylvania, Department of Juridical Sciences and European Studies. The paper examines the Romanian educational system, the current education policy and the interior processes of institutions related to Hungarian Language and Literature.</w:t>
      </w:r>
    </w:p>
    <w:p>
      <w:pPr>
        <w:widowControl w:val="on"/>
        <w:pBdr/>
        <w:spacing w:before="240" w:after="240" w:line="240" w:lineRule="auto"/>
        <w:ind w:left="0" w:right="0"/>
        <w:jc w:val="left"/>
      </w:pPr>
      <w:r>
        <w:rPr>
          <w:color w:val="000000"/>
          <w:sz w:val="24"/>
          <w:szCs w:val="24"/>
        </w:rPr>
        <w:br/>
        <w:t xml:space="preserve">The educational system, including the teaching of Hungarian Language and Literature is controlled by the educational policy through the national curriculum and closing exams. At the same time coursebooks, as tools for teaching native language, are extremely important.The main purpose of this paper is to reveal the mechanisms of judgment behind the curriculum, coursebooks and test-papers. We examined the relevant legislations and highlighted the differences between legal standards and general practice revealing the related problems.</w:t>
      </w:r>
    </w:p>
    <w:p>
      <w:pPr>
        <w:widowControl w:val="on"/>
        <w:pBdr/>
        <w:spacing w:before="240" w:after="240" w:line="240" w:lineRule="auto"/>
        <w:ind w:left="0" w:right="0"/>
        <w:jc w:val="left"/>
      </w:pPr>
      <w:r>
        <w:rPr>
          <w:color w:val="000000"/>
          <w:sz w:val="24"/>
          <w:szCs w:val="24"/>
        </w:rPr>
        <w:br/>
        <w:t xml:space="preserve">Keywords: educational policy, teaching of Hungarian Language and Literature, curriculum, coursebooks, examination system, legal standards, voluntary, professional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70568">
    <w:multiLevelType w:val="hybridMultilevel"/>
    <w:lvl w:ilvl="0" w:tplc="55690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70568">
    <w:abstractNumId w:val="63970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976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