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TÖRÖK FERENC</w:t>
            </w:r>
          </w:p>
          <w:p w:rsidR="00C275A3" w:rsidRDefault="00A96AEC" w:rsidP="00C275A3">
            <w:pPr>
              <w:pStyle w:val="Hallgatokepzes"/>
            </w:pPr>
            <w:r>
              <w:t>Nemzetközi kapcsolatok és európai tanulmányok</w:t>
            </w:r>
            <w:r>
              <w:br/>
            </w:r>
            <w:r w:rsidR="00E77B23">
              <w:t>BA, 2. félév</w:t>
            </w:r>
          </w:p>
          <w:p w:rsidR="00C265CE" w:rsidRPr="009E5FF1" w:rsidRDefault="00E77B23" w:rsidP="009763E0">
            <w:pPr>
              <w:pStyle w:val="Hallgatointezmeny-kar"/>
              <w:rPr>
                <w:b/>
                <w:caps/>
              </w:rPr>
            </w:pPr>
            <w:r>
              <w:t>Sapientia EMTE</w:t>
            </w:r>
            <w:r w:rsidR="00C275A3">
              <w:br/>
            </w:r>
            <w:r w:rsidR="00DB4822">
              <w:t>Természettudományi és művészeti kar, Kolozsvár</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Témavezetők:</w:t>
      </w:r>
    </w:p>
    <w:tbl>
      <w:tblPr>
        <w:tblStyle w:val="Konzulensektable"/>
        <w:tblW w:w="0" w:type="auto"/>
        <w:tblLook w:val="04A0"/>
      </w:tblPr>
      <w:tblGrid>
        <w:gridCol w:w="9854"/>
      </w:tblGrid>
      <w:tr w:rsidR="00DB4822" w:rsidTr="00DB4822">
        <w:tc>
          <w:tcPr>
            <w:tcW w:w="9854" w:type="dxa"/>
          </w:tcPr>
          <w:p w:rsidR="00DB4822" w:rsidRPr="00DB4822" w:rsidRDefault="00DB4822" w:rsidP="009763E0">
            <w:pPr>
              <w:pStyle w:val="Konzulenseknev"/>
            </w:pPr>
            <w:r w:rsidRPr="00DB4822">
              <w:t>dr. Tonk Márton</w:t>
            </w:r>
          </w:p>
          <w:p w:rsidR="00DB4822" w:rsidRDefault="00DB4822" w:rsidP="009763E0">
            <w:pPr>
              <w:pStyle w:val="Konzulensektitulus"/>
            </w:pPr>
            <w:r w:rsidRPr="00DB4822">
              <w:t>egyetemi tanár, EMTE TMK</w:t>
            </w:r>
          </w:p>
        </w:tc>
      </w:tr>
      <w:tr w:rsidR="00DB4822" w:rsidTr="00DB4822">
        <w:tc>
          <w:tcPr>
            <w:tcW w:w="9854" w:type="dxa"/>
          </w:tcPr>
          <w:p w:rsidR="00DB4822" w:rsidRPr="00DB4822" w:rsidRDefault="00DB4822" w:rsidP="009763E0">
            <w:pPr>
              <w:pStyle w:val="Konzulenseknev"/>
            </w:pPr>
            <w:r w:rsidRPr="00DB4822">
              <w:t>dr. Bodó Barna</w:t>
            </w:r>
          </w:p>
          <w:p w:rsidR="00DB4822" w:rsidRDefault="00DB4822" w:rsidP="009763E0">
            <w:pPr>
              <w:pStyle w:val="Konzulensektitulus"/>
            </w:pPr>
            <w:r w:rsidRPr="00DB4822">
              <w:t>egyetemi docens, EMTE TMK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Az Európai Unió és az euroszkepticizmus</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Az Európai Unió és az euroszkepticizmus</w:t>
      </w:r>
    </w:p>
    <w:p>
      <w:pPr>
        <w:widowControl w:val="on"/>
        <w:pBdr/>
        <w:spacing w:before="240" w:after="240" w:line="240" w:lineRule="auto"/>
        <w:ind w:left="0" w:right="0"/>
        <w:jc w:val="left"/>
      </w:pPr>
    </w:p>
    <w:p>
      <w:pPr>
        <w:widowControl w:val="on"/>
        <w:pBdr/>
        <w:spacing w:before="240" w:after="240" w:line="240" w:lineRule="auto"/>
        <w:ind w:left="0" w:right="0"/>
        <w:jc w:val="left"/>
      </w:pPr>
      <w:r>
        <w:rPr>
          <w:color w:val="000000"/>
          <w:sz w:val="24"/>
          <w:szCs w:val="24"/>
        </w:rPr>
        <w:br/>
        <w:t xml:space="preserve">Az euroszkepticizmus korunk Európai Uniójának talán egyik legaktuálisabb, igen sokat elemzett, s igen sok összefüggésben felmerülő témája. Dolgozatom első egységében tisztázzuk azokat az alapelveket és alapfogalmakat, amelyek az euroszkepticizmus megértéséhez elengedhetetlenek. Az alapfogalmak tisztázásával ugyanakkor arra is törekszünk, hogy átfogó képet alkossunk arról a közös európai (politikai és polgári) „ideológiáról”, identitásról, amely felé egyre erőteljesebb euroszkeptikus bírálatok irányulnak.</w:t>
      </w:r>
    </w:p>
    <w:p>
      <w:pPr>
        <w:widowControl w:val="on"/>
        <w:pBdr/>
        <w:spacing w:before="240" w:after="240" w:line="240" w:lineRule="auto"/>
        <w:ind w:left="0" w:right="0"/>
        <w:jc w:val="left"/>
      </w:pPr>
      <w:r>
        <w:rPr>
          <w:color w:val="000000"/>
          <w:sz w:val="24"/>
          <w:szCs w:val="24"/>
        </w:rPr>
        <w:t xml:space="preserve">Tanulmányom második részében az Eurobarométer és az Eurostat adatai alapján kvantitatív elemzést végezünk a témában, amely egy újabb perspektívát nyit meg a nem pártpolitikai, nyilvános politizálás szintjén megfogalmazódott euroszkepticizmusról. A folyamatában, komparatívan kielemzett eurobarométerek adatai segítségével az euroszkepticizmus jelenségét a maga dinamikájában, folyamatban tudjuk megismerni, így nem csupán pillanatnyi, „statikus” helyzetelemzésekből tudunk levonni nagy valószínűség szerint időlegesen érvényes konklúziókat, hanem a jelenség fejlődéstörténete alapján talán időtállóbb tanulságokat is.</w:t>
      </w:r>
    </w:p>
    <w:p>
      <w:pPr>
        <w:widowControl w:val="on"/>
        <w:pBdr/>
        <w:spacing w:before="240" w:after="240" w:line="240" w:lineRule="auto"/>
        <w:ind w:left="0" w:right="0"/>
        <w:jc w:val="left"/>
      </w:pPr>
      <w:r>
        <w:rPr>
          <w:color w:val="000000"/>
          <w:sz w:val="24"/>
          <w:szCs w:val="24"/>
        </w:rPr>
        <w:t xml:space="preserve">Munkám harmadik részében az euroszkepticizmus, egy sokkal elméletibb, definiálhatób megnyilvánulásával foglalkozom. Itt a pártpolitikai szinten megnyilvánuló euroszkepticizmust próbálom górcső alá venni pártprogramok, és a nyilvános politizálás manifesztációi elemzése által. Jelen fejezetben már egy sokkal inkább kvalitatív irányba mutató kutatást végzek, mely majd segít a jelenség definiálásában. Mindezek mellett, ezt a sokszínű és merőben szerteágazó jelenség manifesztációit, megpróbálom nem az elv intenzitása, hanem az érvek, szakirányultsága mentén kategorizálni, így talán jobban megérteni az "euro-kritikák" hátterét, lényegét.</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B724A" w:rsidRDefault="005B724A">
      <w:r>
        <w:separator/>
      </w:r>
    </w:p>
  </w:endnote>
  <w:endnote w:type="continuationSeparator" w:id="1">
    <w:p w:rsidR="005B724A" w:rsidRDefault="005B724A">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Arial">
    <w:panose1 w:val="020B060602020203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 w:name="Calibri">
    <w:panose1 w:val="020F0502020204030204"/>
    <w:charset w:val="EE"/>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B724A" w:rsidRDefault="005B724A">
      <w:r>
        <w:separator/>
      </w:r>
    </w:p>
  </w:footnote>
  <w:footnote w:type="continuationSeparator" w:id="1">
    <w:p w:rsidR="005B724A" w:rsidRDefault="005B724A">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2409004">
    <w:multiLevelType w:val="hybridMultilevel"/>
    <w:lvl w:ilvl="0" w:tplc="31820835">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2409004">
    <w:abstractNumId w:val="4240900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0"/>
    <w:footnote w:id="1"/>
  </w:footnotePr>
  <w:endnotePr>
    <w:endnote w:id="0"/>
    <w:endnote w:id="1"/>
  </w:endnotePr>
  <w:compat/>
  <w:rsids>
    <w:rsidRoot w:val="00663FD0"/>
    <w:rsid w:val="000C08A6"/>
    <w:rsid w:val="00130581"/>
    <w:rsid w:val="00161DAE"/>
    <w:rsid w:val="001A3460"/>
    <w:rsid w:val="001D0EFC"/>
    <w:rsid w:val="001F7C77"/>
    <w:rsid w:val="00230D74"/>
    <w:rsid w:val="00296682"/>
    <w:rsid w:val="002C7C6C"/>
    <w:rsid w:val="003713EA"/>
    <w:rsid w:val="003965ED"/>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331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Normltblzat"/>
    <w:rsid w:val="00DB4822"/>
    <w:tblPr>
      <w:tblInd w:w="0" w:type="dxa"/>
      <w:tblCellMar>
        <w:top w:w="0" w:type="dxa"/>
        <w:left w:w="108" w:type="dxa"/>
        <w:bottom w:w="0" w:type="dxa"/>
        <w:right w:w="108" w:type="dxa"/>
      </w:tblCellMar>
    </w:tblPr>
  </w:style>
  <w:style w:type="table" w:customStyle="1" w:styleId="Konzulensektable">
    <w:name w:val="Konzulensek table"/>
    <w:basedOn w:val="Normltblzat"/>
    <w:rsid w:val="00DB4822"/>
    <w:tblPr>
      <w:tblInd w:w="0" w:type="dxa"/>
      <w:tblCellMar>
        <w:top w:w="0" w:type="dxa"/>
        <w:left w:w="108" w:type="dxa"/>
        <w:bottom w:w="0" w:type="dxa"/>
        <w:right w:w="108" w:type="dxa"/>
      </w:tblCellMar>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369887134"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87</TotalTime>
  <Pages>1</Pages>
  <Words>35</Words>
  <Characters>246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rudanj</cp:lastModifiedBy>
  <cp:revision>16</cp:revision>
  <cp:lastPrinted>1601-01-01T00:00:00Z</cp:lastPrinted>
  <dcterms:created xsi:type="dcterms:W3CDTF">2012-11-05T21:53:00Z</dcterms:created>
  <dcterms:modified xsi:type="dcterms:W3CDTF">2015-02-04T15:05:00Z</dcterms:modified>
</cp:coreProperties>
</file>