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TÖRÖK</w:t>
            </w:r>
          </w:p>
          <w:p w:rsidR="00C275A3" w:rsidRDefault="00A96AEC" w:rsidP="00C275A3">
            <w:pPr>
              <w:pStyle w:val="Hallgatokepzes"/>
            </w:pPr>
            <w:r>
              <w:t>International relations and european studies</w:t>
            </w:r>
            <w:r>
              <w:br/>
            </w:r>
            <w:r w:rsidR="00E77B23">
              <w:t>BA, 2. semester</w:t>
            </w:r>
          </w:p>
          <w:p w:rsidR="00C265CE" w:rsidRPr="009E5FF1" w:rsidRDefault="00E77B23" w:rsidP="009763E0">
            <w:pPr>
              <w:pStyle w:val="Hallgatointezmeny-kar"/>
              <w:rPr>
                <w:b/>
                <w:caps/>
              </w:rPr>
            </w:pPr>
            <w:r>
              <w:t>Sapientia Hungarian University of Transylvania</w:t>
            </w:r>
            <w:r w:rsidR="00C275A3">
              <w:br/>
            </w:r>
            <w:r w:rsidR="00DB4822">
              <w:t>Facunlty of Sciences and Arts, Cluj-Napoca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Márton Tonk</w:t>
            </w:r>
          </w:p>
          <w:p w:rsidR="00DB4822" w:rsidRDefault="00DB4822" w:rsidP="009763E0">
            <w:pPr>
              <w:pStyle w:val="Konzulensektitulus"/>
            </w:pPr>
            <w:r w:rsidRPr="00DB4822">
              <w:t>professor, EMTE TMK</w:t>
            </w:r>
          </w:p>
        </w:tc>
      </w:tr>
      <w:tr w:rsidR="00DB4822" w:rsidTr="00DB4822">
        <w:tc>
          <w:tcPr>
            <w:tcW w:w="9854" w:type="dxa"/>
          </w:tcPr>
          <w:p w:rsidR="00DB4822" w:rsidRPr="00DB4822" w:rsidRDefault="00DB4822" w:rsidP="009763E0">
            <w:pPr>
              <w:pStyle w:val="Konzulenseknev"/>
            </w:pPr>
            <w:r w:rsidRPr="00DB4822">
              <w:t>Barna Bodó</w:t>
            </w:r>
          </w:p>
          <w:p w:rsidR="00DB4822" w:rsidRDefault="00DB4822" w:rsidP="009763E0">
            <w:pPr>
              <w:pStyle w:val="Konzulensektitulus"/>
            </w:pPr>
            <w:r w:rsidRPr="00DB4822">
              <w:t>associate professor,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Euroscepticism and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euroscepticism is one of the most actual and largely analised theme of the European Union of our times. In the first part of my work I will try to define all those basic facts, notions and phenomens wich are esencial to understand the euroscepticism. While clarifying the main notions of this topic I will try to build up a global picture about the common european (political and civil as well) ideology and walue system wich is so often criticised by the eurosceptics.</w:t>
      </w:r>
    </w:p>
    <w:p>
      <w:pPr>
        <w:widowControl w:val="on"/>
        <w:pBdr/>
        <w:spacing w:before="240" w:after="240" w:line="240" w:lineRule="auto"/>
        <w:ind w:left="0" w:right="0"/>
        <w:jc w:val="left"/>
      </w:pPr>
      <w:r>
        <w:rPr>
          <w:color w:val="000000"/>
          <w:sz w:val="24"/>
          <w:szCs w:val="24"/>
        </w:rPr>
        <w:t xml:space="preserve">At the second part of the study I will make a quantitative analyse based on Eurobarometer and Eurostat dates. This will give us a new perspective about the non-partypolitical part of the phenomen named euroscepticism.</w:t>
      </w:r>
    </w:p>
    <w:p>
      <w:pPr>
        <w:widowControl w:val="on"/>
        <w:pBdr/>
        <w:spacing w:before="240" w:after="240" w:line="240" w:lineRule="auto"/>
        <w:ind w:left="0" w:right="0"/>
        <w:jc w:val="left"/>
      </w:pPr>
      <w:r>
        <w:rPr>
          <w:color w:val="000000"/>
          <w:sz w:val="24"/>
          <w:szCs w:val="24"/>
        </w:rPr>
        <w:t xml:space="preserve">The third part is about the euroscepticism wich is manifested institutional in eurosceptic political parties and social politics. Here I will analise some partyprograms and public opinions wich are strongly related to the eurosceptic part of the public politics. Also in this part I will try to do a classification of this phenomen based not on it's intensity but on the main idea, the leading principle of it. Hopefully this will help us to identify the background of this permanently increasing phenomen.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91089">
    <w:multiLevelType w:val="hybridMultilevel"/>
    <w:lvl w:ilvl="0" w:tplc="7209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91089">
    <w:abstractNumId w:val="12291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494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