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MIHAI KOVÁCS</w:t>
            </w:r>
          </w:p>
          <w:p w:rsidR="00C275A3" w:rsidRDefault="00A96AEC" w:rsidP="00C275A3">
            <w:pPr>
              <w:pStyle w:val="Hallgatokepzes"/>
            </w:pPr>
            <w:r>
              <w:t>History</w:t>
            </w:r>
            <w:r>
              <w:br/>
            </w:r>
            <w:r w:rsidR="00E77B23">
              <w:t>BA, 4. semester</w:t>
            </w:r>
          </w:p>
          <w:p w:rsidR="00C265CE" w:rsidRPr="009E5FF1" w:rsidRDefault="00E77B23" w:rsidP="009763E0">
            <w:pPr>
              <w:pStyle w:val="Hallgatointezmeny-kar"/>
              <w:rPr>
                <w:b/>
                <w:caps/>
              </w:rPr>
            </w:pPr>
            <w:r>
              <w:t>Babeş-Bolyai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Koszta</w:t>
            </w:r>
          </w:p>
          <w:p w:rsidR="00DB4822" w:rsidRDefault="00DB4822" w:rsidP="009763E0">
            <w:pPr>
              <w:pStyle w:val="Konzulensektitulus"/>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life of Peter Monoszló, bishop of Transsylvania (1270–1307)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Transylvanian Bishop Peter Monoszló was one of the most important ecclesiastic figures of the Hungarian Kingdom at the end of the 13th and in the first years of the 14th century. In the present study I propose a thematic approach of his biography, using contemporary documents and recent historical studies. By studying his life and activity we can have a closer look at the mentality and possibilities of a Hungarian bishop in that era. </w:t>
      </w:r>
    </w:p>
    <w:p>
      <w:pPr>
        <w:widowControl w:val="on"/>
        <w:pBdr/>
        <w:spacing w:before="240" w:after="240" w:line="240" w:lineRule="auto"/>
        <w:ind w:left="0" w:right="0"/>
        <w:jc w:val="left"/>
      </w:pPr>
      <w:r>
        <w:rPr>
          <w:color w:val="000000"/>
          <w:sz w:val="24"/>
          <w:szCs w:val="24"/>
        </w:rPr>
        <w:t xml:space="preserve">     Bishop Peter's family had solid political relationships, and himself was a very skillful politician. These facts together with his high position allowed him to have the status of a magnate. The Transylvanian bishop supported always the strongest candidate for the crown, knowing that a solid central government is a vital interest of his bishopric. Similarly to the other Hungarian bishops of his time, he fought persistently against king Ladislas IV, which he considered to be a pagan. He kept good relationships with Transsylvanian voyvodes and the local nobility, being in the same time ready to fight anytime for the rights of his bishopric.He had similar relations with his fellow bishops. </w:t>
      </w:r>
    </w:p>
    <w:p>
      <w:pPr>
        <w:widowControl w:val="on"/>
        <w:pBdr/>
        <w:spacing w:before="240" w:after="240" w:line="240" w:lineRule="auto"/>
        <w:ind w:left="0" w:right="0"/>
        <w:jc w:val="left"/>
      </w:pPr>
      <w:r>
        <w:rPr>
          <w:color w:val="000000"/>
          <w:sz w:val="24"/>
          <w:szCs w:val="24"/>
        </w:rPr>
        <w:t xml:space="preserve">     His political influence allowed him to gather a considerable domain in Kolozs county, which he organized according to the economical trends of his time. Thanks to his incomes, he could initiate an ambitious building programme, which included the restoration of his cathedral church in Gyulafehérvár. He also built two stone fortresses in order to consolidate his military power and to organize more efficiently his domain. He built two stone fortresses in order to consolidate his military power .</w:t>
      </w:r>
    </w:p>
    <w:p>
      <w:pPr>
        <w:widowControl w:val="on"/>
        <w:pBdr/>
        <w:spacing w:before="240" w:after="240" w:line="240" w:lineRule="auto"/>
        <w:ind w:left="0" w:right="0"/>
        <w:jc w:val="left"/>
      </w:pPr>
      <w:r>
        <w:rPr>
          <w:color w:val="000000"/>
          <w:sz w:val="24"/>
          <w:szCs w:val="24"/>
        </w:rPr>
        <w:t xml:space="preserve">     Thanks to Peter Monoszló’s activity the fortune and prestige of the Transsylvanian bishopric grew considerably. That’s why, after his death, voyvode Ladislas Kán wanted at any price to have his own man as a bishop. His memory inspired the Transylvanian chapter to elect a magnate bishop decades later.</w:t>
      </w:r>
    </w:p>
    <w:p>
      <w:pPr>
        <w:widowControl w:val="on"/>
        <w:pBdr/>
        <w:spacing w:before="240" w:after="240" w:line="240" w:lineRule="auto"/>
        <w:ind w:left="0" w:right="0"/>
        <w:jc w:val="left"/>
      </w:pPr>
      <w:r>
        <w:rPr>
          <w:color w:val="000000"/>
          <w:sz w:val="24"/>
          <w:szCs w:val="24"/>
        </w:rPr>
        <w:t xml:space="preserve">     We don’t have too many sources to illustrate bishop Peter’s religious feelings, but we may consider – knowing his activity – that his main intrest was in keeping and enlarging his bishopric’s rights and freedoms. His priorities are very well illustrated by the arenga of an episcopal document: In rerum ecclesiasticarum agendis semper meliora prospiciuntur et utiliora attenduntur, ad hoc ut Dei ecclesia in suo statu tuta permaneat, et in suis bonis sit tranquilla.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44234">
    <w:multiLevelType w:val="hybridMultilevel"/>
    <w:lvl w:ilvl="0" w:tplc="42779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44234">
    <w:abstractNumId w:val="26444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403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