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TŐTŐS ÁRON</w:t>
            </w:r>
          </w:p>
          <w:p w:rsidR="00C275A3" w:rsidRDefault="00A96AEC" w:rsidP="00C275A3">
            <w:pPr>
              <w:pStyle w:val="Hallgatokepzes"/>
            </w:pPr>
            <w:r>
              <w:t>Nyugat-Románia története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Nagyváradi Egyetem</w:t>
            </w:r>
            <w:r w:rsidR="00C275A3">
              <w:br/>
            </w:r>
            <w:r w:rsidR="00DB4822">
              <w:t>Történelem, Nemzetközi Kapcsolatok, Politika és Kommunikációs Tudományok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Kövér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„Mert közegészségi és rendészeti kifogás alá nem esik” Bordélyházak és kéjnőtartók a polgárosodó Nagyváradon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prostitúciótörténet kutatásának bevett gyakorlatával ellentétben dolgozatunk főszereplő nem a kéjnők, hanem a kéjnőtartók. Velük együtt igyekszünk megszólaltatni azokat is, akik a bordélyházak szomszédságában, azokkal egy utcában található lakásokban éltek. Kutatásunk egyúttal kísérlet is. Kísérlet arra, hogy az egyéni élettörténeteken és a mikrotörténeti megközelítésen keresztül, bepillantást nyerjünk a dualizmuskori Nagyvárad eddig még nem kutatott világába. A diskurzus során felhasznált elsődleges források a Román Állami Levéltár Bihar Megyei Levéltárában találhatóak. Az adatok összefésüléséből tizenegy bordélyházvezető életének rövidebb vagy hosszabb időszaka rajzolódott ki 1899-1914 közötti időszakra vonatkozóan. A források egy másik részén keresztül a bordélyházak szomszédságaiban vagy azokkal egy utcában élő polgárok hangja szűrődik ki. Az alkalmazott fő módszer a levéltári dokumentumgyűjtés és szövegelemzés. Ez utóbbi a hivatalos okiratokban megszólaló hatalmi és egyéni nyelvezetnek az elemzésére szorítkozik. Az általunk használt lépték bár az egyéni narratívákból indul ki, lehetőség szerint igyekszik a kontextust is érzékeltetni.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prostitúciótörténet, bordélyházak, kéjnőtartók, Nagyvárad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07079">
    <w:multiLevelType w:val="hybridMultilevel"/>
    <w:lvl w:ilvl="0" w:tplc="75948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07079">
    <w:abstractNumId w:val="93607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583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