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DÉKÁNY ENIKŐ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Majsa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1956-os magyar forradalom megjelenése a két német állam sajtójában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1956-os forradalom vizsgálata a korabeli német sajtó tükrében, a hatásának megismerésének érdekében. A forradalom hatással volt a világ történéseire és az akkori sajtó szemléletes képet ad az uralkodó körülményekről, többek között a két német állam kapcsolatáról.</w:t>
      </w:r>
      <w:r>
        <w:rPr>
          <w:color w:val="000000"/>
          <w:sz w:val="24"/>
          <w:szCs w:val="24"/>
        </w:rPr>
        <w:br/>
        <w:t xml:space="preserve">A téma vizsgálatához szükséges egy rövid áttekintés arról, hogy miként is alakult az adott szituációban szereplők sorsa, hiszen ez segít megérteni a motivációkat is.</w:t>
      </w:r>
      <w:r>
        <w:rPr>
          <w:color w:val="000000"/>
          <w:sz w:val="24"/>
          <w:szCs w:val="24"/>
        </w:rPr>
        <w:br/>
        <w:t xml:space="preserve">A dolgozat célja az, hogy a kedvelt kutatási témát – az 1956-os magyar forradalmat – egy viszonylag kevésbé kutatott szempontból közelítse meg. Így rávilágítva arra a tényre, hogy mekkora befolyással bír egy ország eseményei más népek életére, államok kapcsolatára.</w:t>
      </w:r>
      <w:r>
        <w:rPr>
          <w:color w:val="000000"/>
          <w:sz w:val="24"/>
          <w:szCs w:val="24"/>
        </w:rPr>
        <w:br/>
        <w:t xml:space="preserve">A kutatásban nagy szerepet játszottak a másodlagos források, de a teljes körű munka érdekében Németországban is folytak kutatások, melynek eredményeképpen eredeti újságok és röplapok kerültek feldolgozásra.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94257">
    <w:multiLevelType w:val="hybridMultilevel"/>
    <w:lvl w:ilvl="0" w:tplc="76492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94257">
    <w:abstractNumId w:val="14694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896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