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GÖMÖRI</w:t>
            </w:r>
          </w:p>
          <w:p w:rsidR="00C275A3" w:rsidRDefault="00A96AEC" w:rsidP="00C275A3">
            <w:pPr>
              <w:pStyle w:val="Hallgatokepzes"/>
            </w:pPr>
            <w:r>
              <w:t>International Relations</w:t>
            </w:r>
            <w:r>
              <w:br/>
            </w:r>
            <w:r w:rsidR="00E77B23">
              <w:t>MA, 4.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Miletics</w:t>
            </w:r>
          </w:p>
          <w:p w:rsidR="00DB4822" w:rsidRDefault="00DB4822" w:rsidP="00E11062">
            <w:pPr>
              <w:pStyle w:val="Konzulensek"/>
            </w:pPr>
            <w:r w:rsidRPr="00DB4822">
              <w:t>visiting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Coptic Christians in the militaristic Egypt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examining the modern history of Egypt – though many tend to – the Coptic Christians, the most significant religious-ethnical minority of Egypt cannot be overlooked. The Copts regard themselves as the caretakers of the heritage of the ancient Egypt: while today they are a minority compared to the Arabs arriving in the region, they were the dominant population of the Nile Valley. It presents a particular challenge in the case of the Coptic community that the border between their religious and ethnic identity is very thin: the naming of the Copts – according to the most prevalent theory – originated from the corruption of the expression used by the Arabs, referring to non-Muslim Egyptians.</w:t>
      </w:r>
      <w:r>
        <w:rPr>
          <w:color w:val="000000"/>
          <w:sz w:val="24"/>
          <w:szCs w:val="24"/>
        </w:rPr>
        <w:br/>
        <w:t xml:space="preserve">The essay – after a short historical introduction – examines the situation of the Egyptian Coptic Christians and the relationship of the Egyptian leadership and the Coptic community under the military regimes that came to power following the coup of the Free Officers: from the tense relations under Nasser, through the gradually more hostile policies of Sadat, to the relatively moderate stance of Mubarak. Additional emphasis is put on the person of Shenouda III, who was an integral part of the events in Egypt until the „Arab Spring”. In the end, it can be observed that during this period, the Coptic community turned from an influential part of the Egyptian populace to an actual religious minority suffering from atrocities.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31039">
    <w:multiLevelType w:val="hybridMultilevel"/>
    <w:lvl w:ilvl="0" w:tplc="93629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31039">
    <w:abstractNumId w:val="21031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415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