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IMRE</w:t>
            </w:r>
          </w:p>
          <w:p w:rsidR="00C275A3" w:rsidRDefault="00A96AEC" w:rsidP="00C275A3">
            <w:pPr>
              <w:pStyle w:val="Hallgatokepzes"/>
            </w:pPr>
            <w:r>
              <w:t>pharmacist</w:t>
            </w:r>
            <w:r>
              <w:br/>
            </w:r>
            <w:r w:rsidR="00E77B23">
              <w:t>Unified,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Pharmacy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Tamás Martinek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and head of department, SZTE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Zsófia Hegedüs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SZTE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Synthesis and structural analysis of angiogenesis inhibiting β-peptid foldamers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tumor ellenes terápiában egészen új támadáspontot jelenthet a burjánzó sejtek tápanyagellátásához szükséges angiogenezis gátlása. A vaszkularizációban különféle fehérjék játszanak szerepet, melyek specifikus gátlásával rendkívül célzott terápia érhető el, igen kedvező mellékhatásprofillal.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fehérje-fehérje kölcsönhatások akár 750-1500 Å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méretű felszínt érinthetnek, amelyek legtöbbször a térben kevésbé differenciált, sekélyes kötőhelyek formájában jelentkeznek. Ezek a helyek a hagyományos kismolekulákkal csak rendkívül korlátozott számú kölcsönhatást képesek kialakítani, ezért e molekulák alkalmazása nem célszerű.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szervezet endo-, és exopeptidázainak következménye a fehérjék hatóanyagként való alkalmazásának egyik legnagyobb hátránya, az alacsony stabilitás. Megfigyelték, hogy a peptidet felépítő α-aminosavak egy részének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4019210" name="name154eb588b04b7e" descr="imgtmp_30708_int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int_1.gif"/>
                    <pic:cNvPicPr/>
                  </pic:nvPicPr>
                  <pic:blipFill>
                    <a:blip r:embed="rId154eb588b04b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-aminosavra való cseréjével a különböző peptidázok elleni rezisztencia jelentősen nő.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Kiválasztottunk egy már ismert, szintetizált peptidet, az anginexet, melynek angiogenezis gátló hatásáról beszámoltak. Ezután különböző szubsztitúciós stratégiákat dolgoztunk ki. Több féle minta szerint, különböző pozíciókban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3753389" name="name154eb588b04e99" descr="imgtmp_30708_int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int_2.gif"/>
                    <pic:cNvPicPr/>
                  </pic:nvPicPr>
                  <pic:blipFill>
                    <a:blip r:embed="rId154eb588b04e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-aminosavakkal helyettesített peptideket állítottunk elő, majd szerkezetüket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anyagainkat mikrohullámú peptidszintetizátor segítségével, szilárd fázisú Fmoc kémiával állítottuk elő. Szerkezetüket, és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3700095" name="name154eb588b050eb" descr="imgtmp_30708_int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int_3.gif"/>
                    <pic:cNvPicPr/>
                  </pic:nvPicPr>
                  <pic:blipFill>
                    <a:blip r:embed="rId154eb588b050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-redő képzésére való hajlamukat NMR spektroszkópiával (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H, </w:t>
      </w:r>
      <w:r>
        <w:rPr>
          <w:color w:val="000000"/>
          <w:position w:val="4"/>
          <w:sz w:val="21"/>
          <w:szCs w:val="21"/>
          <w:vertAlign w:val="superscript"/>
        </w:rPr>
        <w:t xml:space="preserve">13</w:t>
      </w:r>
      <w:r>
        <w:rPr>
          <w:color w:val="000000"/>
          <w:sz w:val="24"/>
          <w:szCs w:val="24"/>
        </w:rPr>
        <w:t xml:space="preserve">C, TOCSY, NOESY, HSQC) és cirkuláris dikroizmussal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korábban előállított, a mostani stratégiával megegyező pozíciókban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83111256" name="name154eb588b053c5" descr="imgtmp_30708_int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int_4.gif"/>
                    <pic:cNvPicPr/>
                  </pic:nvPicPr>
                  <pic:blipFill>
                    <a:blip r:embed="rId154eb588b05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–aminosavakkal szubsztituált termékhez képest javulást értünk el a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36800"/>
            <wp:docPr id="57856235" name="name154eb588b055d1" descr="imgtmp_30708_int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0708_int_5.gif"/>
                    <pic:cNvPicPr/>
                  </pic:nvPicPr>
                  <pic:blipFill>
                    <a:blip r:embed="rId154eb588b0557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-redők kialakításában. Az utóbbi időben a gyógyszeriparban a biológikumok kifejlesztése került előtérbe, így a munkánk során elért eredmények ígéretes lehetőségeket nyitnak a gyógyszerkémia és a különböző tumorok terápiája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60432">
    <w:multiLevelType w:val="hybridMultilevel"/>
    <w:lvl w:ilvl="0" w:tplc="70928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60432">
    <w:abstractNumId w:val="500604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360360" Type="http://schemas.openxmlformats.org/officeDocument/2006/relationships/numbering" Target="numbering.xml"/><Relationship Id="rId154eb588b04b28" Type="http://schemas.openxmlformats.org/officeDocument/2006/relationships/image" Target="media/imgrId154eb588b04b28.gif"/><Relationship Id="rId154eb588b04e72" Type="http://schemas.openxmlformats.org/officeDocument/2006/relationships/image" Target="media/imgrId154eb588b04e72.gif"/><Relationship Id="rId154eb588b05098" Type="http://schemas.openxmlformats.org/officeDocument/2006/relationships/image" Target="media/imgrId154eb588b05098.gif"/><Relationship Id="rId154eb588b05372" Type="http://schemas.openxmlformats.org/officeDocument/2006/relationships/image" Target="media/imgrId154eb588b05372.gif"/><Relationship Id="rId154eb588b0557d" Type="http://schemas.openxmlformats.org/officeDocument/2006/relationships/image" Target="media/imgrId154eb588b0557d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