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DER</w:t>
            </w:r>
          </w:p>
          <w:p w:rsidR="00C275A3" w:rsidRDefault="00A96AEC" w:rsidP="00C275A3">
            <w:pPr>
              <w:pStyle w:val="Hallgatokepzes"/>
            </w:pPr>
            <w:r>
              <w:t>Pharmacy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Peter Sipos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Preformulation and in vitro / in vivo studies of targeted liposomes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Kísérleti munkámban az abiotikus környezeti tényezők által okozott gyulladási folyamatok terápiás lehetőségeit fejlesztem. Vizsgáltam az előállított liposzómák, mint nanoméretű hatóanyag-hordozó rendszerek fiziko-kémiai tulajdonságait, az előállítási paramétereknek a hordozórendszer ex vivo / in vivo stabilitására (preformuláció, mint technológiai szempont) és a célzott farmakonliberációra gyakorolt hatásait (biofarmáciai szempont).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liposzómák fejlesztése a QbD, PAT, Risk management szempontok szerint kiválasztott segédanyagokkal történt. A komponensek kompatibilitási vizsgálatait és a nanohordozó rendszerek szerkezeti vizsgálatát termoanalitikai (DSC) és Raman spektroszkópiai módszerekkel végeztem. A preformulációs vizsgálatok eredményeinek statisztikai analízisét az előállítási eljárás optimalizálása követte. Robosztus előállítási módszert dolgoztunk ki, amely biztosítja a reprodukálható liposzómakészítést. A célzott hatóanyag-leadás vizsgálatához a liposzómák transzportjának vizsgálata célsejteken, Raman kémiai térképezéssel és in vivo vizsgálatokkal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legjobbnak ítélt összetételekből liposzómákat készítettem, és karakterizációs vizsgálatoknak (méret, zéta-potenciál) vetettem alá. A termoanalitikai és Raman vizsgálatok eredményei szerint a szélsőértékekben kémiai bomlás nem volt tapasztalható, ez igaz a fizikai és a modell keverékekre is. A liposzómákban gyenge másodlagos kötőerők jelenléte volt kimutatható, amely nem befolyásolta a bezárt hatóanyagok felszabadulását.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 statisztikai módszerrel megalapozott és műszeres vizsgálatokkal végzett preformulációs vizsgálatok értékelése alapvetően fontos információkat szolgáltat a nanoméretű hatóanyag-hordozó rendszer fejlesztéséhez. Az ex vivo és in vivo vizsgálati eredmények megerősítik a kutatási tervben foglalt célzott hatóanyag-felszabadulás elérését.</w:t>
      </w:r>
      <w:r>
        <w:rPr>
          <w:color w:val="000000"/>
          <w:sz w:val="24"/>
          <w:szCs w:val="24"/>
        </w:rPr>
        <w:br/>
        <w:t xml:space="preserve">Támogató: TÁMOP-4.2.2.A-11/1/KONV-2012-0035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00252">
    <w:multiLevelType w:val="hybridMultilevel"/>
    <w:lvl w:ilvl="0" w:tplc="87074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00252">
    <w:abstractNumId w:val="25400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093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