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KATALÁN GERGELY TAMÁS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Vókó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Schanda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lelkiismereti- és vallásszabadság rendeltetése és korlátozhatósága a büntetés-végrehajtásban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vállalkozok, hogy a lelkiismereti- és vallásszabadság büntetés-végrehajtáson belüli érvényesülési lehetőségeit, ennek korlátait, illetve az ezzel összefüggő egyes problémákat a gyakorlat igényeire tekintettel, alapjogi szempontból megvizsgáljam.</w:t>
      </w:r>
      <w:r>
        <w:rPr>
          <w:color w:val="000000"/>
          <w:sz w:val="24"/>
          <w:szCs w:val="24"/>
        </w:rPr>
        <w:br/>
        <w:t xml:space="preserve">A lelkiismereti alapokon nyugvó meggyőződés potenciálisan alkalmas az elítéltek javítására, ezért fontos kérdésként kezelem, hogy ez miként segítheti elő a szabadságvesztés-büntetés végrehajtása során elérendő reszocializációs célt.</w:t>
      </w:r>
      <w:r>
        <w:rPr>
          <w:color w:val="000000"/>
          <w:sz w:val="24"/>
          <w:szCs w:val="24"/>
        </w:rPr>
        <w:br/>
        <w:t xml:space="preserve">Bemutatom, hogy a lelkiismereti- és vallásszabadsághoz fűződő jogosultságok mennyiben módosulnak a büntetés-végrehajtási intézetekben, továbbá ismertetem öt világvallás kialakulásának történetét és főbb tanait.</w:t>
      </w:r>
      <w:r>
        <w:rPr>
          <w:color w:val="000000"/>
          <w:sz w:val="24"/>
          <w:szCs w:val="24"/>
        </w:rPr>
        <w:br/>
        <w:t xml:space="preserve">Megállapítom, hogy a lelkiismereti meggyőződéshez fűződő jogokat mindenki számára biztosítani kell ilyen körülmények között is, azonban az Alaptörvény, a büntetés-végrehajtási jogi, illetve a nemzetközi emberi jogi normák valamint a gyakorlat igényeinek összevetésével megfogalmazom azokat a szempontokat és kritériumokat, amelyek figyelembevételével meg lehet állapítani a büntetés-végrehajtási intézetekben, hogy milyen mértékben lehet, kell, illetve tilos a lelkiismereti meggyőződésből fakadó cselekményeknek gátat szabni.</w:t>
      </w:r>
      <w:r>
        <w:rPr>
          <w:color w:val="000000"/>
          <w:sz w:val="24"/>
          <w:szCs w:val="24"/>
        </w:rPr>
        <w:br/>
        <w:t xml:space="preserve">A dolgozat egészében arra helyezem a hangsúlyt, hogy gyakorlati példákkal szemléltessem az alapjog-korlátozás megfelelő módszerét, így mind az egyes világvallásokhoz kapcsolódóan, mind a lelkiismereti- és vallásszabadságot összetevő elemek tekintetében számos jogesetet ismertetek, bemutatom, hogy az adott fórum milyen szempontok alapulvételével és, hogyan döntött az egyes esetekben, majd állást foglalok a döntések helyes vagy helytelen mivolta tekintetében.</w:t>
      </w:r>
      <w:r>
        <w:rPr>
          <w:color w:val="000000"/>
          <w:sz w:val="24"/>
          <w:szCs w:val="24"/>
        </w:rPr>
        <w:br/>
        <w:t xml:space="preserve">Célként tűzöm ki, hogy felhívjam a figyelmet az alkotmányjog és a büntetés-végrehajtási jog rendkívül szoros kapcsolatára, továbbá, hogy bebizonyítsam azt, hogy a tárgyalt téma tekintetében a jogalkalmazó megfelelő alkotmányjogi, büntetés-végrehajtási jogi és teológiai ismeretekkel is kell, hogy rendelkezzen, annak érdekében, hogy megalapozott döntést hozhasson az alapjog-korlátozás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177956">
    <w:multiLevelType w:val="hybridMultilevel"/>
    <w:lvl w:ilvl="0" w:tplc="627617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177956">
    <w:abstractNumId w:val="211779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07518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