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KISS</w:t>
            </w:r>
          </w:p>
          <w:p w:rsidR="00C275A3" w:rsidRDefault="00A96AEC" w:rsidP="00C275A3">
            <w:pPr>
              <w:pStyle w:val="Hallgatokepzes"/>
            </w:pPr>
            <w:r>
              <w:t>Public Administration</w:t>
            </w:r>
            <w:r>
              <w:br/>
            </w:r>
            <w:r w:rsidR="00E77B23">
              <w:t>MA, 3. semester</w:t>
            </w:r>
          </w:p>
          <w:p w:rsidR="00C265CE" w:rsidRPr="009E5FF1" w:rsidRDefault="00E77B23" w:rsidP="009763E0">
            <w:pPr>
              <w:pStyle w:val="Hallgatointezmeny-kar"/>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Horváth</w:t>
            </w:r>
          </w:p>
          <w:p w:rsidR="00DB4822" w:rsidRDefault="00DB4822" w:rsidP="009763E0">
            <w:pPr>
              <w:pStyle w:val="Konzulensektitulus"/>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right of admission reserved! – How do the nightclubs violate human rights?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Until the time of arriving the people who are going out believe that they meet all the criteria to enter to the given club without any problem. However, persons with specific characteristics cannot exercise their right of entertainment with equal conditions. The aim of this work is to analyze the approving jurisdiction related with the violation of fundamental rights on ethnical, racial and gender reasons.</w:t>
      </w:r>
    </w:p>
    <w:p>
      <w:pPr>
        <w:widowControl w:val="on"/>
        <w:pBdr/>
        <w:spacing w:before="240" w:after="240" w:line="240" w:lineRule="auto"/>
        <w:ind w:left="0" w:right="0"/>
        <w:jc w:val="left"/>
      </w:pPr>
      <w:r>
        <w:rPr>
          <w:color w:val="000000"/>
          <w:sz w:val="24"/>
          <w:szCs w:val="24"/>
        </w:rPr>
        <w:t xml:space="preserve">Persons belonging to certain nationalities especially Romas due to prejudicted presumptions or stereotypes generated by the society frequently face with situations where they are not able to use some services. In the centre of entry deny based on race and ethnic origin is the famous expression „face control“ as public control and it includes all entry rules. The „face control“ operates as complex filter because over the external qualities and the type of clothes another forms of appearance and behavior are also included in the security’s control powers. This paper primarily focuses on presentation the entry practice grievance resulting of the arbitrary application of „face control“.</w:t>
      </w:r>
    </w:p>
    <w:p>
      <w:pPr>
        <w:widowControl w:val="on"/>
        <w:pBdr/>
        <w:spacing w:before="240" w:after="240" w:line="240" w:lineRule="auto"/>
        <w:ind w:left="0" w:right="0"/>
        <w:jc w:val="left"/>
      </w:pPr>
      <w:r>
        <w:rPr>
          <w:color w:val="000000"/>
          <w:sz w:val="24"/>
          <w:szCs w:val="24"/>
        </w:rPr>
        <w:t xml:space="preserve">The main question regarding the gender discrimination is whether the clubs’ practice in cases when there is a free entry for women but the men have to pay violates the principle of gender equality or not. Based on international and domestic experiences it can be declarated that the enforcemet tools of gender discrimination have a wide range from the complete prohibition to the de minimis exceptions.</w:t>
      </w:r>
    </w:p>
    <w:p>
      <w:pPr>
        <w:widowControl w:val="on"/>
        <w:pBdr/>
        <w:spacing w:before="240" w:after="240" w:line="240" w:lineRule="auto"/>
        <w:ind w:left="0" w:right="0"/>
        <w:jc w:val="left"/>
      </w:pPr>
      <w:r>
        <w:rPr>
          <w:color w:val="000000"/>
          <w:sz w:val="24"/>
          <w:szCs w:val="24"/>
        </w:rPr>
        <w:t xml:space="preserve">In the proceedings launched due to the clubs’ entry practice the discrimination is formed between the legal relationship of individuals. The complainant as an individual asks for help from a state authority to probate his/her right against another individual. The state decides with the help of public means that there is a violation of law or not. Although the state has institutional protection obligation connected with the fundamental rights it should be considered what extent of intervention is required from the state.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30559">
    <w:multiLevelType w:val="hybridMultilevel"/>
    <w:lvl w:ilvl="0" w:tplc="55375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30559">
    <w:abstractNumId w:val="61130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305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