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ÁGNES BRECSOK</w:t>
            </w:r>
          </w:p>
          <w:p w:rsidR="00C275A3" w:rsidRDefault="00A96AEC" w:rsidP="00C275A3">
            <w:pPr>
              <w:pStyle w:val="Hallgatokepzes"/>
            </w:pPr>
            <w:r>
              <w:t>Public Administration</w:t>
            </w:r>
            <w:r>
              <w:br/>
            </w:r>
            <w:r w:rsidR="00E77B23">
              <w:t>MA, 5. semester</w:t>
            </w:r>
          </w:p>
          <w:p w:rsidR="00C265CE" w:rsidRPr="009E5FF1" w:rsidRDefault="00E77B23" w:rsidP="009763E0">
            <w:pPr>
              <w:pStyle w:val="Hallgatointezmeny-kar"/>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Tibor László Buskó</w:t>
            </w:r>
          </w:p>
          <w:p w:rsidR="00DB4822" w:rsidRDefault="00DB4822" w:rsidP="009763E0">
            <w:pPr>
              <w:pStyle w:val="Konzulensektitulus"/>
            </w:pPr>
            <w:r w:rsidRPr="00DB4822">
              <w:t>assistant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Municipal public education vs. state public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last years were the years of reforms. Changes of this magnitude has been not appeared since the regime transition. These changes have direct and indirect influence for our everyday life and also for our social and economic situation therefore their assessment cannot be omitted. In the examined period there had been a reorganisation of local public services and public education. Chosen from these segments the object of my work is based on the primary education.</w:t>
      </w:r>
    </w:p>
    <w:p>
      <w:pPr>
        <w:widowControl w:val="on"/>
        <w:pBdr/>
        <w:spacing w:before="240" w:after="240" w:line="240" w:lineRule="auto"/>
        <w:ind w:left="0" w:right="0"/>
        <w:jc w:val="left"/>
      </w:pPr>
      <w:r>
        <w:rPr>
          <w:color w:val="000000"/>
          <w:sz w:val="24"/>
          <w:szCs w:val="24"/>
        </w:rPr>
        <w:br/>
        <w:t xml:space="preserve">Connected with the new law a totally different duty division, management and financing system was formed where the local governments – which before were answerable for the maintance of the institutions – were significantly pushed into the background. The aim of this study is to describe what were the main motivations, what were the reasons of the changes, the recently reform processes how much are able to handle the previous systems´ problems, how was the transition, how does the current education system work and what is the opinion of the directly concerned (local governments, primary schools, state actors).</w:t>
      </w:r>
    </w:p>
    <w:p>
      <w:pPr>
        <w:widowControl w:val="on"/>
        <w:pBdr/>
        <w:spacing w:before="240" w:after="240" w:line="240" w:lineRule="auto"/>
        <w:ind w:left="0" w:right="0"/>
        <w:jc w:val="left"/>
      </w:pPr>
      <w:r>
        <w:rPr>
          <w:color w:val="000000"/>
          <w:sz w:val="24"/>
          <w:szCs w:val="24"/>
        </w:rPr>
        <w:br/>
        <w:t xml:space="preserve">The paper attempts to reveal the public educational system´s reform issue. Firstly, the observation is created from theoretical and logical research methods which are specific features of jurisprudence so essentially is based on collecting, arranging and analyzing of scientific literature, relevant legal rules and another legal documents. This is supplemented with the empirical part of the work where the study would like to recognize the key actors´ experiences with the help of questionnaires and interviews.</w:t>
      </w:r>
    </w:p>
    <w:p>
      <w:pPr>
        <w:widowControl w:val="on"/>
        <w:pBdr/>
        <w:spacing w:before="240" w:after="240" w:line="240" w:lineRule="auto"/>
        <w:ind w:left="0" w:right="0"/>
        <w:jc w:val="left"/>
      </w:pPr>
      <w:r>
        <w:rPr>
          <w:color w:val="000000"/>
          <w:sz w:val="24"/>
          <w:szCs w:val="24"/>
        </w:rPr>
        <w:br/>
        <w:t xml:space="preserve">From the two central topic of the study: maintance of schools and financing of schools, the study deals with the financing only marginally because it should require another paper to broadly explain it. I would like to state here that I do not want to qualify the present public education management. The one hand, because several approaches are characterized minimally. On the other hand, because the reform will be classified after its impact on the qualify of education. However from the one and half year – operation we cannot draw definitive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32112">
    <w:multiLevelType w:val="hybridMultilevel"/>
    <w:lvl w:ilvl="0" w:tplc="57221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32112">
    <w:abstractNumId w:val="67032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013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