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MORAVCSIK</w:t>
            </w:r>
          </w:p>
          <w:p w:rsidR="00C275A3" w:rsidRDefault="00A96AEC" w:rsidP="00C275A3">
            <w:pPr>
              <w:pStyle w:val="Hallgatokepzes"/>
            </w:pPr>
            <w:r>
              <w:t>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Margit Kovacs</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office above all – the study of the results and experiences of the one-stop shop reform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one-stop shop system is not a new thing. We can see many examples from the private sector in the practise of banks, insurers or other services. They create packages of the services by with they can fulfill every needs of their customers. The customers have similar preferences in the direction of administration: manage their procedures at one place, fast and cheap – it can be administration, standing in the line, the time of going from an office to an other or lost workinghours. This is what the one-stop shop customer services for.</w:t>
      </w:r>
    </w:p>
    <w:p>
      <w:pPr>
        <w:widowControl w:val="on"/>
        <w:pBdr/>
        <w:spacing w:before="240" w:after="240" w:line="240" w:lineRule="auto"/>
        <w:ind w:left="0" w:right="0"/>
        <w:jc w:val="left"/>
      </w:pPr>
      <w:r>
        <w:rPr>
          <w:color w:val="000000"/>
          <w:sz w:val="24"/>
          <w:szCs w:val="24"/>
        </w:rPr>
        <w:t xml:space="preserve">The one-stop shop system is spreading and more and more popular in practise of the countries. In the developed countries - like Austria, Germany, Canada, Portugal, Australia or New-Zeeland – launch these one-stop shops with more and more opportunities and wider scopes. This reformwave did not avoid nor Hungary. The one-stop shop administration reform - as a part of the reorganization of the regional administration - started in 2011. To correlate with it, the goal of my essay partually is to introduce this new administration modell in wider context. In this context I would like to give an outlook about the international practice of "single customer service models", about the narrow enviroment of the one-stop shop reform and about the reorganisation of domestic regional public administration. Including the international practice of one-step office administration and the narrower area of the one-stop shop reform. In the other half of my essay I will describe and study the parctices and characteristics of the one-stop shop modell.</w:t>
      </w:r>
    </w:p>
    <w:p>
      <w:pPr>
        <w:widowControl w:val="on"/>
        <w:pBdr/>
        <w:spacing w:before="240" w:after="240" w:line="240" w:lineRule="auto"/>
        <w:ind w:left="0" w:right="0"/>
        <w:jc w:val="left"/>
      </w:pPr>
      <w:r>
        <w:rPr>
          <w:color w:val="000000"/>
          <w:sz w:val="24"/>
          <w:szCs w:val="24"/>
        </w:rPr>
        <w:t xml:space="preserve">In this study firstly I am looking the answer for the question that to what extent the one-stop shop system fulfill its expectations.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76929">
    <w:multiLevelType w:val="hybridMultilevel"/>
    <w:lvl w:ilvl="0" w:tplc="39137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76929">
    <w:abstractNumId w:val="20876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480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