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SZAKOS</w:t>
            </w:r>
          </w:p>
          <w:p w:rsidR="00C275A3" w:rsidRDefault="00A96AEC" w:rsidP="00C275A3">
            <w:pPr>
              <w:pStyle w:val="Hallgatokepzes"/>
            </w:pPr>
            <w:r>
              <w:t>public administration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Public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András Nemeslaki DsC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Over the startup hype - The role of the state in supporting economic innovation from the aspect of public administration and public policy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 saying goes nowadays Hungarian knowledge is a worldsuccess. What is needed for success? Could the very fashionable and regularly mentioned startups, as a break through option, be the success for Hungary? The common work and thinking of passionate NGOs, economic organisations and governmental actors founded a flourishing startup ecosystem. What should we do if we want Budapest become startup capital of the region?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 is based on the responsibility of the state towards educational and economic environment using the Triple Helix model, even surpassing it. Besides examinating triple interaction between education – state and economic I feel it is important to integrate the failures of government and market actors the importance of the government’s role in innovation, all of which contribute to the basic issue.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of this does not assume the exclusive and omnipotent role of the state but a challenge for the knowledge based society meaning the different market actors will have to built a successful and proud community by helping and strengthening each 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challange for the future and responsibility for all, may it be on a global, regional or national level.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18241">
    <w:multiLevelType w:val="hybridMultilevel"/>
    <w:lvl w:ilvl="0" w:tplc="82669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18241">
    <w:abstractNumId w:val="843182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850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