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LUKÁCS</w:t>
            </w:r>
          </w:p>
          <w:p w:rsidR="00C275A3" w:rsidRDefault="00A96AEC" w:rsidP="00C275A3">
            <w:pPr>
              <w:pStyle w:val="Hallgatokepzes"/>
            </w:pPr>
            <w:r>
              <w:t>Public Administration</w:t>
            </w:r>
            <w:r>
              <w:br/>
            </w:r>
            <w:r w:rsidR="00E77B23">
              <w:t>MA, 1. semester</w:t>
            </w:r>
          </w:p>
          <w:p w:rsidR="00C265CE" w:rsidRPr="009E5FF1" w:rsidRDefault="00E77B23" w:rsidP="009763E0">
            <w:pPr>
              <w:pStyle w:val="Hallgatointezmeny-kar"/>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András Téglási PhD.</w:t>
            </w:r>
          </w:p>
          <w:p w:rsidR="00DB4822" w:rsidRDefault="00DB4822" w:rsidP="009763E0">
            <w:pPr>
              <w:pStyle w:val="Konzulensektitulus"/>
            </w:pPr>
            <w:r w:rsidRPr="00DB4822">
              <w:t>assistant professor,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Basic Law questions about the GMO Pant Production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hard to remain impassive in our globalized world concerning the question of the genetically modified plants. Therefore, this paper aims to present the regulations of these products in a complex way, the opinions of both the supporters and the opponents, a short historical review from the appearance of the regulatory requirements. My analysis presents the regulations of the European Union, solutions in some member state, and demonstrates different models.</w:t>
      </w:r>
    </w:p>
    <w:p>
      <w:pPr>
        <w:widowControl w:val="on"/>
        <w:pBdr/>
        <w:spacing w:before="240" w:after="240" w:line="240" w:lineRule="auto"/>
        <w:ind w:left="0" w:right="0"/>
        <w:jc w:val="left"/>
      </w:pPr>
      <w:r>
        <w:rPr>
          <w:color w:val="000000"/>
          <w:sz w:val="24"/>
          <w:szCs w:val="24"/>
        </w:rPr>
        <w:br/>
        <w:t xml:space="preserve">I think it is important to deal with the relevant part of the Hungarian legislation, including the Fundamental Law and also why it is necessary to raise regulation to the level of the Fundamental Law. In my paper the Hungarian legislation will be presented and I endeavor to draw up possible legislative tasks.</w:t>
      </w:r>
    </w:p>
    <w:p>
      <w:pPr>
        <w:widowControl w:val="on"/>
        <w:pBdr/>
        <w:spacing w:before="240" w:after="240" w:line="240" w:lineRule="auto"/>
        <w:ind w:left="0" w:right="0"/>
        <w:jc w:val="left"/>
      </w:pPr>
      <w:r>
        <w:rPr>
          <w:color w:val="000000"/>
          <w:sz w:val="24"/>
          <w:szCs w:val="24"/>
        </w:rPr>
        <w:br/>
        <w:t xml:space="preserve">Hungarian and foreign sources (which were used during the preparatory work) guarantee the diversity and professional grounding of the paper.</w:t>
      </w:r>
    </w:p>
    <w:p>
      <w:pPr>
        <w:widowControl w:val="on"/>
        <w:pBdr/>
        <w:spacing w:before="240" w:after="240" w:line="240" w:lineRule="auto"/>
        <w:ind w:left="0" w:right="0"/>
        <w:jc w:val="left"/>
      </w:pPr>
      <w:r>
        <w:rPr>
          <w:color w:val="000000"/>
          <w:sz w:val="24"/>
          <w:szCs w:val="24"/>
        </w:rPr>
        <w:br/>
        <w:t xml:space="preserve">The basic concepts are clarified and the topic is summarized in the introduction. After that the international regulations are examined especially the EU ones. The completed work examines the practice of the EU member states (for example the attitude to the Amfolra GM potato, etc.) After that the Hungarian Fundamental Law is studied and the domestic legal environment is mapped. The paper also includes interactive elements: interviews, charts, maps and pictures supporting transparency and clarity.</w:t>
      </w:r>
    </w:p>
    <w:p>
      <w:pPr>
        <w:widowControl w:val="on"/>
        <w:pBdr/>
        <w:spacing w:before="240" w:after="240" w:line="240" w:lineRule="auto"/>
        <w:ind w:left="0" w:right="0"/>
        <w:jc w:val="left"/>
      </w:pPr>
      <w:r>
        <w:rPr>
          <w:color w:val="000000"/>
          <w:sz w:val="24"/>
          <w:szCs w:val="24"/>
        </w:rPr>
        <w:br/>
        <w:t xml:space="preserve">The other aspect studied derives from the Fundamental Law. Therefore, we can examine the quality of the topic from the point of view of fundamental and human rights (for example: the right to food self-determination). In addition, as for me similarly to the debate over GM crops, the need of constitutional regulation justifies the relevance of a meaningful research.</w:t>
      </w:r>
    </w:p>
    <w:p>
      <w:pPr>
        <w:widowControl w:val="on"/>
        <w:pBdr/>
        <w:spacing w:before="240" w:after="240" w:line="240" w:lineRule="auto"/>
        <w:ind w:left="0" w:right="0"/>
        <w:jc w:val="left"/>
      </w:pPr>
      <w:r>
        <w:rPr>
          <w:color w:val="000000"/>
          <w:sz w:val="24"/>
          <w:szCs w:val="24"/>
        </w:rPr>
        <w:t xml:space="preserve">The main concept of these paper is to show the way how can we restrict the spread of the genetically modified organisms.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76283">
    <w:multiLevelType w:val="hybridMultilevel"/>
    <w:lvl w:ilvl="0" w:tplc="46728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76283">
    <w:abstractNumId w:val="797762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9457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