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MADARÁSZ GABRIELLA</w:t>
            </w:r>
          </w:p>
          <w:p w:rsidR="00C275A3" w:rsidRDefault="00A96AEC" w:rsidP="00C275A3">
            <w:pPr>
              <w:pStyle w:val="Hallgatokepzes"/>
            </w:pPr>
            <w:r>
              <w:t>közigazgatás-szervező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Csáki Ilona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2008-as gazdasági válság hatása a magyar bankrendszerre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válság; bank; pénzügy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témája a 2008-ban kialakult gazdasági válság hatása a magyar bankrendszerre, ami számos olyan döntés együttese, melyek egymást erősítették. A ’80-as évektől növekvő szuperbuborékot gerjesztő események bármely szakaszában megállíthatták volna; akkor a buborék egyszerűen csak megszűnik, vagy legalábbis hatása jelentéktelenné válik.</w:t>
      </w:r>
      <w:r>
        <w:rPr>
          <w:color w:val="000000"/>
          <w:sz w:val="24"/>
          <w:szCs w:val="24"/>
        </w:rPr>
        <w:br/>
        <w:t xml:space="preserve">Jelen helyzet mutatja, hogy a pénzügyi piac rövid távon nem törekszik az egyensúlyi állapot elérésére, hiszen a vezetők nincsenek a teljes és tökéletes tudás birtokában.</w:t>
      </w:r>
      <w:r>
        <w:rPr>
          <w:color w:val="000000"/>
          <w:sz w:val="24"/>
          <w:szCs w:val="24"/>
        </w:rPr>
        <w:br/>
        <w:t xml:space="preserve">Hazánk bankrendszerére nem csupán a Lehman Brothers csődje volt hatással, hanem a 2010-ben kialakult euróválság is. 2004-től kezdve az emberek tömegesen vettek fel deviza alapú hiteleket, azonban az árfolyamkockázat veszélyével akkor senki sem számolt. A bankok veszteségeket realizáltak, hiszen sokan nem tudták visszafizetni a hitelt, s ez mellett a kormány adókat vetett ki a hitelintézetekre. Bár már 2009-ben is célul tűzték ki a devizahitelesek problémájának megoldását, végleges megoldás a mai napig nem sikerült találni.</w:t>
      </w:r>
      <w:r>
        <w:rPr>
          <w:color w:val="000000"/>
          <w:sz w:val="24"/>
          <w:szCs w:val="24"/>
        </w:rPr>
        <w:br/>
        <w:t xml:space="preserve">Kutatásom során megvizsgáltam, hogy az ügyfélkör szerint csoportosított három bankra - az Országos Takarékpénztárra (továbbiakban OTP), a Raiffeisen Bankra és a CIB Bankra-, milyen hatással volt a gazdasági válság. Azért ezeket a bankokat választottam, mert a részletes elemzésükkel átfogó képet tudok nyújtani a mai magyar bankrendszerről. A 2005 és 2013 közötti banki beszámolók vizsgálata során megállapítottam, hogy a főként lakossági ügyfélkörrel rendelkező OTP-t a válság kevésbé érintette meg – továbbra is nyereséges. Ezzel szemben a főként vállalati ügyfélkörrel rendelkező Raiffeisen és a CIB Bank óriási veszteségeket realizáltak az elmúlt három évben. A bankokra gyakorolt hatás továbbgyűrűződését vizsgáltam a lakossági, kkv és önkormányzati szektorra nézve.</w:t>
      </w:r>
      <w:r>
        <w:rPr>
          <w:color w:val="000000"/>
          <w:sz w:val="24"/>
          <w:szCs w:val="24"/>
        </w:rPr>
        <w:br/>
        <w:t xml:space="preserve">A válság mérséklésére számos módszert alkalmaztak mind hazai, mind nemzetközi szinten. Azonban a pénzügyi hatás mellett más problémák is jelentkeztek: megugrott a munkanélküliek száma, romlott az életszínvonal, a vállalkozások nem jutnak újabb hitelekhez, forrásokhoz – sokan csődbe mennek. Ezek mind olyan problémák, melyeket kezelni kell ahhoz, hogy a gazdaság ismét életre keljen.</w:t>
      </w:r>
      <w:r>
        <w:rPr>
          <w:color w:val="000000"/>
          <w:sz w:val="24"/>
          <w:szCs w:val="24"/>
        </w:rPr>
        <w:br/>
        <w:t xml:space="preserve">Számos elmélet létezik arra, hogy hogyan kellene kezelni a krízist. Abban azonban mindegyik megegyezik, hogy átfogó reformra van szükség, mind a pénzügyi, mind a humán piacon.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095697">
    <w:multiLevelType w:val="hybridMultilevel"/>
    <w:lvl w:ilvl="0" w:tplc="750279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095697">
    <w:abstractNumId w:val="710956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8701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