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MORAVCSIK</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Anett Horvath Dr.</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each other’s hands – the municipality’s and the civil society’s cooperation in Óbuda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know different stages of cooperation, and it can manifest on many different ways. It is the same between the municipality and the civil society, which I studied, they have a close relationship. In the middle of my study, there stand the municipality of the IIIth district in Budapest and the civil societies. I wanted to know better and process this complex network between them. If we want to see through this comlexity, we have to border a few conceptions, and we have to turn this comlex system into pieces, so we can find the hidden parts of the municipality’s and the civil society’s relationship.</w:t>
      </w:r>
      <w:r>
        <w:rPr>
          <w:color w:val="000000"/>
          <w:sz w:val="24"/>
          <w:szCs w:val="24"/>
        </w:rPr>
        <w:br/>
        <w:t xml:space="preserve">The goal of my study is to present all the elements that mark this partnership of the two spheres. In my dissection I will show the citizen participation, the legal principles which make them possible, and the main principles of open governance. Some stages of the realised cooperation between the municipality and the civil society manifests through different channels, that is why I feel necessary to show the different types of the connections. One of the main points of my study is a project that came into being by one of the civil society of Óbuda, in which seems to sketch all the positive things and factors, that guarantee real cooperation between the state and the factions of the society. After this I will make an experiment based on Arnstein’s model, to create a category system through the civil societies can be classified, according to their measure and effectiveness they had in governance.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02095">
    <w:multiLevelType w:val="hybridMultilevel"/>
    <w:lvl w:ilvl="0" w:tplc="89977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02095">
    <w:abstractNumId w:val="13702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355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