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DÓRA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Vizi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Vajdaság, mint autonóm tartomány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600" w:right="0"/>
        <w:jc w:val="left"/>
      </w:pPr>
      <w:r>
        <w:rPr>
          <w:color w:val="000000"/>
          <w:sz w:val="24"/>
          <w:szCs w:val="24"/>
        </w:rPr>
        <w:t xml:space="preserve">Vajdaság, mint auotonóm tartomány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Mint ahogy a címből is kiderült, dolgozatomban Vajdaság, a Szerb Köztársaság autonóm tartományának átfogó bemutatására kerül sor. Miért is éri meg Vajdaságról írni vagy egyáltalán olvasni? Mert autonóm tartományi jogállásán keresztül a nemzetközi jog egy érdekes területét lehet vele feltárni. Bár napjainkban kényes dolog ilyen témával foglalkozni, mert politikai viták ingatag táptalaja egy-egy országban az autonómia-kérdés, illetve Vajdaság Autonóm Tartomány esetében a nemzeti kisebbség témája is. Ezzel a témával kapcsolatban természetesen nem elhanyagolható a kisebbségpolitika kérdése sem, mely témát dolgozatomban szintén érintek.</w:t>
      </w:r>
      <w:r>
        <w:rPr>
          <w:color w:val="000000"/>
          <w:sz w:val="24"/>
          <w:szCs w:val="24"/>
        </w:rPr>
        <w:br/>
        <w:t xml:space="preserve">A dolgozat szerkezete a következők szerint fog felépülni. Első körben az autonómia fogalmával és annak típusaival fogok foglalkozni. Ezt követően a nemzetiség és kisebbség fogalmakra térek rá, majd az említett tartomány általános ismertetésére kerül sor leíró módszerrel, amelyben kitérek Vajdaság földrajzi-, demográfiai-, gazdasági- és történelmi tényezőinek felvázolására. Ezek után, az általános információk után pedig majd rátérek közigazgatási rendszerének átfogó jellemzésére, utána pedig sajátos jogi státuszának részletesebb boncolgatására.</w:t>
      </w:r>
      <w:r>
        <w:rPr>
          <w:color w:val="000000"/>
          <w:sz w:val="24"/>
          <w:szCs w:val="24"/>
        </w:rPr>
        <w:br/>
        <w:t xml:space="preserve">Érdemes-e Vajdaság autonómiájával foglalkozni napjainkban? Véleményem szerint igen, mert a már említett politikai töltete miatt a mindenkori állami vezetők számára ez egy állandóan változó álláspontot és döntések sorozatát jelenti. Az autonómia-kérdésre pedig nem csak a határokon belüli lakosság közvéleménye gyakorol hatást, hanem a közvetlen nemzetközi környezet is. A téma változékonyságát mi sem mutatja jobban, mint a tartomány történelme során is nyomon követhető rengeteg fordulat. Ráadásul a határon túl élő magyarok helyzete sosem veszít jelentőségéből és aktualitásából.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09455">
    <w:multiLevelType w:val="hybridMultilevel"/>
    <w:lvl w:ilvl="0" w:tplc="24248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09455">
    <w:abstractNumId w:val="11109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519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