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PINTÉR</w:t>
            </w:r>
          </w:p>
          <w:p w:rsidR="00C275A3" w:rsidRDefault="00A96AEC" w:rsidP="00C275A3">
            <w:pPr>
              <w:pStyle w:val="Hallgatokepzes"/>
            </w:pPr>
            <w:r>
              <w:t>public administration manager</w:t>
            </w:r>
            <w:r>
              <w:br/>
            </w:r>
            <w:r w:rsidR="00E77B23">
              <w:t>BA, 5. semester</w:t>
            </w:r>
          </w:p>
          <w:p w:rsidR="00C265CE" w:rsidRPr="009E5FF1" w:rsidRDefault="00E77B23" w:rsidP="00C275A3">
            <w:pPr>
              <w:pStyle w:val="Hallgatokepzes"/>
              <w:rPr>
                <w:b/>
                <w:caps/>
              </w:rPr>
            </w:pPr>
            <w:r>
              <w:t>National University of Public Service</w:t>
            </w:r>
            <w:r w:rsidR="00C275A3">
              <w:br/>
            </w:r>
            <w:r w:rsidR="00DB4822">
              <w:t>Faculty of Public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Balázs, Vizi</w:t>
            </w:r>
          </w:p>
          <w:p w:rsidR="00DB4822" w:rsidRDefault="00DB4822" w:rsidP="00E11062">
            <w:pPr>
              <w:pStyle w:val="Konzulensek"/>
            </w:pPr>
            <w:r w:rsidRPr="00DB4822">
              <w:t>associate professor, NKE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Vojvodina as an autonomous province</w:t>
      </w:r>
      <w:r>
        <w:t xml:space="preserve"/>
      </w:r>
    </w:p>
    <w:p w:rsidR="00D71DF5" w:rsidRDefault="00D71DF5" w:rsidP="00AD2602">
      <w:pPr>
        <w:jc w:val="both"/>
      </w:pPr>
    </w:p>
    <w:p>
      <w:pPr>
        <w:widowControl w:val="on"/>
        <w:pBdr/>
        <w:spacing w:before="240" w:after="240" w:line="240" w:lineRule="auto"/>
        <w:ind w:left="3150" w:right="0"/>
        <w:jc w:val="left"/>
      </w:pPr>
      <w:r>
        <w:rPr>
          <w:color w:val="000000"/>
          <w:sz w:val="24"/>
          <w:szCs w:val="24"/>
        </w:rPr>
        <w:t xml:space="preserve">Vojvodina as an autonomous province</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br/>
        <w:t xml:space="preserve">As the title suggests, my thesis is set to comprehensively present Vojvodina as one of the autonomous provinces of the Republic of Serbia. Why is it worth writing or reading about Vojvodina to begin with? Because you can unfold a highly interesting aspect of the international laws through its autonomous provincial legal status. Although it is indeed a delicate matter to discuss nowadays due to autonomy being the unstable fuel of political debates in certain countries, not to mention that in the case of the Autonomous Province of Vojvodina it is also a topic of the national minorities. Taking that into consideration, the question of minority policies are not to be disregarded either, to which I intend to introduce the reader.</w:t>
      </w:r>
      <w:r>
        <w:rPr>
          <w:color w:val="000000"/>
          <w:sz w:val="24"/>
          <w:szCs w:val="24"/>
        </w:rPr>
        <w:br/>
        <w:t xml:space="preserve">The structure of the thesis is as follows: At first, I intend to introduce the notion of the autonomous province in general using the descriptive method, touching upon Vojvodina’s geographic, demographic, economic and historic factors. After presenting the generic information, I am moving on to presenting its system of public administration, followed by the in-depth discussion of its peculiar legal status. Starting with substantiating my argument with the definition of autonomy, I will also talk about its different types recognized by international practices, then comparing them with and subsequently presenting the unique traits of the autonomy applied in Vojvodina.</w:t>
      </w:r>
      <w:r>
        <w:rPr>
          <w:color w:val="000000"/>
          <w:sz w:val="24"/>
          <w:szCs w:val="24"/>
        </w:rPr>
        <w:br/>
        <w:t xml:space="preserve">Is it worth to be concerned with the autonomy of Vojvodina today? I believe so, since its political aspects mentioned earlier turns it into a series of ever-changing opinions and decisions for the all-time leaders of state. In addition, the question of autonomy is not only influenced by the public opinion of those living within the borders or Vojvodina, but by the immediate international environment, too, and of course, to a (somewhat) great extent, so is the European Union, into which Serbia is trying to integrate as fast as it virtually can. Nothing proves the variegation of the topic more than all the traceable twists in the province’s history. Besides, the issues of Hungarians living abroad will never become any less topical.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966790">
    <w:multiLevelType w:val="hybridMultilevel"/>
    <w:lvl w:ilvl="0" w:tplc="989342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966790">
    <w:abstractNumId w:val="119667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99379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