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BECK TOLDINÉ</w:t>
            </w:r>
          </w:p>
          <w:p w:rsidR="00C275A3" w:rsidRDefault="00A96AEC" w:rsidP="00C275A3">
            <w:pPr>
              <w:pStyle w:val="Hallgatokepzes"/>
            </w:pPr>
            <w:r>
              <w:t>Nurse</w:t>
            </w:r>
            <w:r>
              <w:br/>
            </w:r>
            <w:r w:rsidR="00E77B23">
              <w:t>BSc, 8. semester</w:t>
            </w:r>
          </w:p>
          <w:p w:rsidR="00C265CE" w:rsidRPr="009E5FF1" w:rsidRDefault="00E77B23" w:rsidP="009763E0">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András Oláh</w:t>
            </w:r>
          </w:p>
          <w:p w:rsidR="00DB4822" w:rsidRDefault="00DB4822" w:rsidP="009763E0">
            <w:pPr>
              <w:pStyle w:val="Konzulensektitulus"/>
            </w:pPr>
            <w:r w:rsidRPr="00DB4822">
              <w:t>associate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and technical opportunities of the postoperative pain management at the intensive ward of Department of Obstetrics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br/>
        <w:t xml:space="preserve">Survey: Patients and their nurses value the postoperative pain by numeric scale to identify the degree of pain and the exploring influencing effects. We searched connection between pain, vital parameters, BMI and need for opiath.</w:t>
      </w:r>
    </w:p>
    <w:p>
      <w:pPr>
        <w:widowControl w:val="on"/>
        <w:pBdr/>
        <w:spacing w:before="240" w:after="240" w:line="240" w:lineRule="auto"/>
        <w:ind w:left="0" w:right="0"/>
        <w:jc w:val="left"/>
      </w:pPr>
      <w:r>
        <w:rPr>
          <w:color w:val="000000"/>
          <w:sz w:val="24"/>
          <w:szCs w:val="24"/>
        </w:rPr>
        <w:br/>
        <w:t xml:space="preserve">Item and methods: The survey was conducted between the 1st November and 15th of December in 2013 among 40 patients at PTE KK intensive department of Gynecology. We used Microsoft 2007 to calculate absolute and relative prevalence, average, deviation, two-sample t-probe and chi square probe, correlation, linear regression at the analysis, which we regard significant at 95% probability (p&lt;0,05). We presented our results with average reliable range.</w:t>
      </w:r>
    </w:p>
    <w:p>
      <w:pPr>
        <w:widowControl w:val="on"/>
        <w:pBdr/>
        <w:spacing w:before="240" w:after="240" w:line="240" w:lineRule="auto"/>
        <w:ind w:left="0" w:right="0"/>
        <w:jc w:val="left"/>
      </w:pPr>
      <w:r>
        <w:rPr>
          <w:color w:val="000000"/>
          <w:sz w:val="24"/>
          <w:szCs w:val="24"/>
        </w:rPr>
        <w:br/>
        <w:t xml:space="preserve">Results: The nurses underestimated the patient’s pain (p=0,111). Tight and continous connection with the patient’s vital parameters had not been prooved. We couldn’t identify connection between age and BMI index of the patient’s (p=0,134), the sample group was mostly overweight, the need for opiath wasn’t uplifted (p=0,62). It is shown by the survey that open surgeries aren’t result in higher pain value which was not significant after adequate analgesia (p&lt;0,05). The benefit of multimodal therapy in analgesia had been prooved, although it had not resulted in decreased need for opiath (p=0,807).</w:t>
      </w:r>
    </w:p>
    <w:p>
      <w:pPr>
        <w:widowControl w:val="on"/>
        <w:pBdr/>
        <w:spacing w:before="240" w:after="240" w:line="240" w:lineRule="auto"/>
        <w:ind w:left="0" w:right="0"/>
        <w:jc w:val="left"/>
      </w:pPr>
      <w:r>
        <w:rPr>
          <w:color w:val="000000"/>
          <w:sz w:val="24"/>
          <w:szCs w:val="24"/>
        </w:rPr>
        <w:br/>
        <w:t xml:space="preserve">Inference: It is essential to conduct a survey on the knowledge of healthcare workers in the future and perhaps to organize workshops and create protocols for them. Moreover, the pain, should be monitored minimum 3 times a day .(Shugarman LR.,2010 ,Canada).</w:t>
      </w:r>
    </w:p>
    <w:p>
      <w:pPr>
        <w:widowControl w:val="on"/>
        <w:pBdr/>
        <w:spacing w:before="240" w:after="240" w:line="240" w:lineRule="auto"/>
        <w:ind w:left="0" w:right="0"/>
        <w:jc w:val="left"/>
      </w:pPr>
      <w:r>
        <w:rPr>
          <w:color w:val="000000"/>
          <w:sz w:val="24"/>
          <w:szCs w:val="24"/>
        </w:rPr>
        <w:t xml:space="preserve">Keywords:pain,NRS,multimodal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47006">
    <w:multiLevelType w:val="hybridMultilevel"/>
    <w:lvl w:ilvl="0" w:tplc="51390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47006">
    <w:abstractNumId w:val="299470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444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