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HELGA VÖRÖS</w:t>
            </w:r>
          </w:p>
          <w:p w:rsidR="00C275A3" w:rsidRDefault="00A96AEC" w:rsidP="00C275A3">
            <w:pPr>
              <w:pStyle w:val="Hallgatokepzes"/>
            </w:pPr>
            <w:r>
              <w:t>Health Care and Disease Prevention, Health Visitor</w:t>
            </w:r>
            <w:r>
              <w:br/>
            </w:r>
            <w:r w:rsidR="00E77B23">
              <w:t>BSc, 8.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Pécs</w:t>
            </w:r>
            <w:r w:rsidR="00C275A3">
              <w:br/>
            </w:r>
            <w:r w:rsidR="00DB4822">
              <w:t>Faculty of Humanities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Éva Brantmüller dr. Harjánné</w:t>
            </w:r>
          </w:p>
          <w:p w:rsidR="00DB4822" w:rsidRDefault="00DB4822" w:rsidP="009763E0">
            <w:pPr>
              <w:pStyle w:val="Konzulensektitulus"/>
            </w:pPr>
            <w:r w:rsidRPr="00DB4822">
              <w:t>assistant professor, PTE ETK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Mentally Handicapped Children in the Family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</w:t>
      </w:r>
      <w:r>
        <w:rPr>
          <w:color w:val="000000"/>
          <w:sz w:val="24"/>
          <w:szCs w:val="24"/>
        </w:rPr>
        <w:br/>
        <w:t xml:space="preserve">A fogyatékos gyermek születése alapjaiban rázza meg a családot, amely kihat a család valamennyi kapcsolatrendszerére. A családra nehezedő terhek miatt jellegzetes problémák alakulhatnak ki, mely akár a családi egyensúly felborulását is eredményezheti. Az érintett családoknak kiemelt, intenzív és empatikus védőnői gondozásra, speciális támogatásra van szükségük.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Módszerek</w:t>
      </w:r>
      <w:r>
        <w:rPr>
          <w:color w:val="000000"/>
          <w:sz w:val="24"/>
          <w:szCs w:val="24"/>
        </w:rPr>
        <w:br/>
        <w:t xml:space="preserve">A kvantitatív, keresztmetszeti vizsgálat célcsoportját értelmi fogyatékos gyermeket/fiatal felnőttet nevelő szülők képezték. Anonim adatgyűjtés történt, saját szerkesztésű kérdőívvel, célcsoporton belüli kényelmi mintavétellel, ahol a családban való nevelkedés a mintába kerülés kritériuma volt. Az elemzés 95%-os valószínűségi szinten, Spearman-féle rang-korrelációs számítással, χ2 próbával, Fisher's Exact teszttel, SPSS 13.00 programmal történt.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Eredmények</w:t>
      </w:r>
      <w:r>
        <w:rPr>
          <w:color w:val="000000"/>
          <w:sz w:val="24"/>
          <w:szCs w:val="24"/>
        </w:rPr>
        <w:br/>
        <w:t xml:space="preserve">A jövőképpel szembeni ambíciók több tényezővel mutattak szoros összefüggést. A fiatal szülői életkor (p=0,05), valamint az anyagi jólét (p&lt;0,001) bizakodóvá teszi a szülőket, a diagnózis közlésének pozitív módja pedig javítja a jövőképet (p&lt;0,001). Az egészséges gyermeket is nevelő szülők, a jövőben elsősorban a testvérekre számítanak a fogyatékos gyermek ellátásában (p&lt;0,001). A társas kapcsolatok csökkenése negatívan befolyásolta a családi élet beszűkülésének szubjektív megítélését (p &lt;0,001). A szülők csupán 46%-a elégedett a védőnő tanácsaival, a gyermek gondozásával, nevelésével kapcsolatos gondok megoldásában a védőnő 48%-ban segített, e téren a szülők 26%-a egyáltalán nem kapott hatékony segítséget.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Következtetések</w:t>
      </w:r>
      <w:r>
        <w:rPr>
          <w:color w:val="000000"/>
          <w:sz w:val="24"/>
          <w:szCs w:val="24"/>
        </w:rPr>
        <w:br/>
        <w:t xml:space="preserve">A védőnői családlátogatások során külön figyelmet kell fordítani a családi védőháló erősítésére, a krízisek kezelésére. Releváns a szakmai ismeretek bővítése a védőnők részéről, a fogyatékosságról, fejlesztési lehetőségekről, valamint az egészséges testvért veszélyeztető rizikótényezőkről.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248592">
    <w:multiLevelType w:val="hybridMultilevel"/>
    <w:lvl w:ilvl="0" w:tplc="7649106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248592">
    <w:abstractNumId w:val="2224859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490625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