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ILA-HORVÁTH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Hungler Sára</w:t>
            </w:r>
          </w:p>
          <w:p w:rsidR="00DB4822" w:rsidRDefault="00DB4822" w:rsidP="00E11062">
            <w:pPr>
              <w:pStyle w:val="Konzulensek"/>
            </w:pPr>
            <w:r w:rsidRPr="00DB4822">
              <w:t>megbízott előadó,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sztrájkhoz való jog szabályozásának európai formái a transznacionális kihívások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Nemzetközi szinten a globalizáció, Uniós szinten a belső piac kialakítása kihívásokat hozott magával a kollektív munkaügyi kapcsolatok hagyományos rendszerébe. A globalizált világban a munkavállalói jogok hatékony védelme a munkavállalók nemzetközi szintű összefogásán és szolidaritásán alapulhat, aminek egyik megnyilvánulása lehet a transznacionális kollektív fellépés.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működéséről szóló szerződés azonban explicit kivonja a közösségi kompetenciák köréből az egyesülési és sztrájkhoz való jogot. Így a kollektív fellépések joga továbbra is tagállami hatáskörben maradt. A kompetencia hiánya két dilemmát vet fel.</w:t>
      </w:r>
      <w:r>
        <w:rPr>
          <w:color w:val="000000"/>
          <w:sz w:val="24"/>
          <w:szCs w:val="24"/>
        </w:rPr>
        <w:br/>
        <w:t xml:space="preserve">Az egyik, hogy az alapszabadságok és a sztrájkhoz való jog ütközése esetén melyik élvez prioritást? A Viking és Laval ügyek ezt a kérdést feszegetik. Végeredményben azonban úgy tűnik, hogy a közösségi jog a közös piac és az alapszabadságok védelmét részesíti előnyben.</w:t>
      </w:r>
      <w:r>
        <w:rPr>
          <w:color w:val="000000"/>
          <w:sz w:val="24"/>
          <w:szCs w:val="24"/>
        </w:rPr>
        <w:br/>
        <w:t xml:space="preserve">A másik dilemma, hogy hogyan alakul az uniós szintű transznacionális sztrájkok szabályozása uniós kompetencia hiányában, tagállami szinten. Ezért összehasonlítottam három gazdaságilag meghatározó tagállam sztrájkjogi modelljét, és arra jutottam, hogy a sztrájkjogi szabályok lényegesen eltérnek, különböző hagyományokra és koncepciókra épülnek, így más korlátozások érvényesülnek a sztrájkhoz való jog gyakorlása tekintetében. Eltérések találhatóak például a jogosultak köre, a békekötelem, az eljárási szabályok, és a szolidaritási sztrájkok kapcsán. Ez akadályozza a transznacionális kollektív fellépések egységes megítélését, és hátráltatja hatékony kibontakozásukat.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munkavállalói oldal transznacionális fellépéseivel szembeni akadályok miatt, az Unió szintjén a szociális partnerek közötti viszony nem kiegyensúlyozott. Kiutat a szempontváltás jelentheti; a válság miatt a szociális jogok szerepét át kellene értelmezni; funkciójukat a deregulációs gazdaságpolitika korlátozása helyett a gazdasági stabilitás helyreállításában lehetne megjelölni. Ez elvezethetne az európai szociális kompetencia és a szociális párbeszéd kollektív fellépésekre való kiterjesztéséhez.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78422">
    <w:multiLevelType w:val="hybridMultilevel"/>
    <w:lvl w:ilvl="0" w:tplc="22786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78422">
    <w:abstractNumId w:val="998784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714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