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ILA-HORVÁTH</w:t>
            </w:r>
          </w:p>
          <w:p w:rsidR="00C275A3" w:rsidRDefault="00A96AEC" w:rsidP="00C275A3">
            <w:pPr>
              <w:pStyle w:val="Hallgatokepzes"/>
            </w:pPr>
            <w:r>
              <w:t>Faculty of law</w:t>
            </w:r>
            <w:r>
              <w:br/>
            </w:r>
            <w:r w:rsidR="00E77B23">
              <w:t>Unified, 11.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Sára Hungler</w:t>
            </w:r>
          </w:p>
          <w:p w:rsidR="00DB4822" w:rsidRDefault="00DB4822" w:rsidP="00E11062">
            <w:pPr>
              <w:pStyle w:val="Konzulensek"/>
            </w:pPr>
            <w:r w:rsidRPr="00DB4822">
              <w:t>research fellow,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to strike in European countries from the perspective of transnational challenges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globalisation and especially the emergence of internal market in the European context confronted the traditional industrial relations system with new challenges. In order to protect the workers’ rights effectively in the globalised economy, cross-border cooperation and international solidarity among workers should be strengthened. The right to take transnational collective action could be seen as an instrument in the workers’ hand to defend their interests.</w:t>
      </w:r>
    </w:p>
    <w:p>
      <w:pPr>
        <w:widowControl w:val="on"/>
        <w:pBdr/>
        <w:spacing w:before="240" w:after="240" w:line="240" w:lineRule="auto"/>
        <w:ind w:left="0" w:right="0"/>
        <w:jc w:val="left"/>
      </w:pPr>
      <w:r>
        <w:rPr>
          <w:color w:val="000000"/>
          <w:sz w:val="24"/>
          <w:szCs w:val="24"/>
        </w:rPr>
        <w:t xml:space="preserve">The right to strike is excluded from the EU’s competences, it is regulated by the national labour laws of the Member States. The lack of the EU’s competence constitutes two major legal challenges.</w:t>
      </w:r>
      <w:r>
        <w:rPr>
          <w:color w:val="000000"/>
          <w:sz w:val="24"/>
          <w:szCs w:val="24"/>
        </w:rPr>
        <w:br/>
        <w:t xml:space="preserve">The first question is that; at EU level in the case of a conflict between economic freedoms and fundamental right to take collective action, which prevails? This issue was addressed in Viking and Laval cases, where the Court ruled that the right to strike at EU level is subjected to limitations laid down by EU law, with the aim of defending the economic freedoms.</w:t>
      </w:r>
      <w:r>
        <w:rPr>
          <w:color w:val="000000"/>
          <w:sz w:val="24"/>
          <w:szCs w:val="24"/>
        </w:rPr>
        <w:br/>
        <w:t xml:space="preserve">The other question is that how can national labour laws regulate cross-border collective actions? I conducted a comparative analysis of three European countries’ labour laws on the right to strike. I came to the conclusion that legal systems differ, thus various types of limitations on the right to strike are applied in the analysed countries. For example there are differences regarding the rules on the entitlement of the right to strike, the peace obligation, procedural restrictions and solidarity strikes. Consequently, the divergence of the legal systems impedes the effective use of transnational collective strikes.</w:t>
      </w:r>
    </w:p>
    <w:p>
      <w:pPr>
        <w:widowControl w:val="on"/>
        <w:pBdr/>
        <w:spacing w:before="240" w:after="240" w:line="240" w:lineRule="auto"/>
        <w:ind w:left="0" w:right="0"/>
        <w:jc w:val="left"/>
      </w:pPr>
      <w:r>
        <w:rPr>
          <w:color w:val="000000"/>
          <w:sz w:val="24"/>
          <w:szCs w:val="24"/>
        </w:rPr>
        <w:t xml:space="preserve">As a result of the above mentioned obstacles towards the right to strike at EU level, the employers’ side is in a more favourable position. In order to balance the power of the parties to the collective disputes, the role of the social rights in the internal market should be reviewed. Social rights (such as the right to strike) should be presented as stabilizing the economy, and not constraining the deregulatory economic policy. In this light, it would be possible to extend the EU’s competence to the right to strike, and it could be an integral part of the European social dialogue.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433857">
    <w:multiLevelType w:val="hybridMultilevel"/>
    <w:lvl w:ilvl="0" w:tplc="83681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433857">
    <w:abstractNumId w:val="104338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30382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