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DALMA MELINDA KOVÁCS</w:t>
            </w:r>
          </w:p>
          <w:p w:rsidR="00C275A3" w:rsidRDefault="00A96AEC" w:rsidP="00C275A3">
            <w:pPr>
              <w:pStyle w:val="Hallgatokepzes"/>
            </w:pPr>
            <w:r>
              <w:t>Law</w:t>
            </w:r>
            <w:r>
              <w:br/>
            </w:r>
            <w:r w:rsidR="00E77B23">
              <w:t>Unified, 11. semester</w:t>
            </w:r>
          </w:p>
          <w:p w:rsidR="00C265CE" w:rsidRPr="009E5FF1" w:rsidRDefault="00E77B23" w:rsidP="009763E0">
            <w:pPr>
              <w:pStyle w:val="Hallgatointezmeny-kar"/>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István Erdős Dr.</w:t>
            </w:r>
          </w:p>
          <w:p w:rsidR="00DB4822" w:rsidRDefault="00DB4822" w:rsidP="009763E0">
            <w:pPr>
              <w:pStyle w:val="Konzulensektitulus"/>
            </w:pPr>
            <w:r w:rsidRPr="00DB4822">
              <w:t>Teacher,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can CESL expect as a participant of the regulatory competition in the field of sales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 the 11th of October in 2011 the European Parliament and the European Council submitted their proposal on the implementation of the Common European Sales Law (CESL), to answer the economic challenges, to enhance the integration of the single market and to increase the competitiveness of the European Union though the reasoning that the divergent national rules interfere with the commerce of the single market therefore inevitable to the unification of these rules.</w:t>
      </w:r>
    </w:p>
    <w:p>
      <w:pPr>
        <w:widowControl w:val="on"/>
        <w:pBdr/>
        <w:spacing w:before="240" w:after="240" w:line="240" w:lineRule="auto"/>
        <w:ind w:left="0" w:right="0"/>
        <w:jc w:val="left"/>
      </w:pPr>
      <w:r>
        <w:rPr>
          <w:color w:val="000000"/>
          <w:sz w:val="24"/>
          <w:szCs w:val="24"/>
        </w:rPr>
        <w:t xml:space="preserve">The European Union wishes to achieve the unificaion of sales law as an innovative soultion with an optional insturment implemented to a resolution that would be a supplementary system within national law, which application depends on the exclusive will of the parties. CESL pulls the B2B and B2C sphere equally under its scope, its territorial scope is limited to transborder sales.</w:t>
      </w:r>
    </w:p>
    <w:p>
      <w:pPr>
        <w:widowControl w:val="on"/>
        <w:pBdr/>
        <w:spacing w:before="240" w:after="240" w:line="240" w:lineRule="auto"/>
        <w:ind w:left="0" w:right="0"/>
        <w:jc w:val="left"/>
      </w:pPr>
      <w:r>
        <w:rPr>
          <w:color w:val="000000"/>
          <w:sz w:val="24"/>
          <w:szCs w:val="24"/>
        </w:rPr>
        <w:t xml:space="preserve">Is the regulatory method applied by the CESL feasible to reach the purposes of the European Union? What are the necessary measures to take in order to make CESL a succesful participant of the regulatory competition and to ensure the opt-in of the parties concerned? Will it become a lemon on the legal market or a pioneer of unification? Will it become the terminus or simply a station of the private law unification in the European Union?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926948">
    <w:multiLevelType w:val="hybridMultilevel"/>
    <w:lvl w:ilvl="0" w:tplc="852788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926948">
    <w:abstractNumId w:val="899269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62460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