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SOMA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Pogácsás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Internet, szólásszbadság és a tárhelyszolgáltatók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viszonylag átfogóbb, bizonyos társadalmi kérdéseket is érintőlegesen tárgyaló vizsgálódás során az internet szólásszabadságra gyakorolt hatásait vettem górcső alá. Ennek során tanulságként levontam, hogy a robbanásszerű technikai fejlődés következtében kommunikációnk is lényeges változásokon ment keresztül, melyek számos kihívás elé állítják mind az abban részt vevőket, mind a jogalkotót és a jogalkalmazót. A vélemények eddig soha nem látott mértékű pluralizmusában megnövekedtek a szólásszabadság szempontjából jogsértő megnyilvánulások, tisztázatlan azonban, hogy milyen jogi intézkedés tenné lehetővé a konfliktusok mindenki számára méltányos rendezését.</w:t>
      </w:r>
      <w:r>
        <w:rPr>
          <w:color w:val="000000"/>
          <w:sz w:val="24"/>
          <w:szCs w:val="24"/>
        </w:rPr>
        <w:br/>
        <w:t xml:space="preserve">A szólásszabadság internetes működésében kiemelt szerepet játszanak az internet szolgáltatók, a jogsértések szempontjából pedig döntő fontosságú annak megítélése, hogy tevékenységük miképpen minősül. Ebből a szempontból különbséget tehetünk olyanok között, akiket az interneten megvalósult jogsértésekért egyértelműen felelősségre lehet vonni, akiket semmiképpen sem, és olyan csoport is akad közöttük, akik esetében e kérdés eldöntése ellentmondásokhoz vezet. Dolgozatomban az ő helyzetüket vizsgáltam.</w:t>
      </w:r>
      <w:r>
        <w:rPr>
          <w:color w:val="000000"/>
          <w:sz w:val="24"/>
          <w:szCs w:val="24"/>
        </w:rPr>
        <w:br/>
        <w:t xml:space="preserve">Évek során kikristályosodott szemlélet volt ugyanis, hogy a tárhelyszolgáltatók – tevékenységük jellegéből adódik elnevezésük – bizonyos feltételek teljesülése esetén mentesülhettek a jogsértő tartalmakért fennálló, őket amúgy terhelő felelősség alól. A technika fejlődése azonban e jogi konstrukció indokoltságát is felülírta, a web 2.0 szolgáltatások elterjedésének köszönhetően több esetben ítélték ugyanis méltánytalannak az e szabályozás eredményeként előálló status quo-t. A Delfi vs. Észtország ügyben először az Emberi Jogok Európai Bírósága állapította meg, szembe menve az eddig bevett joggyakorlattal, hogy a tárhelyszolgáltató annak ellenére felelős a jogsértő tartalomért, hogy annak létrehozásában nem működött közre. Lényegében az Alkotmánybíróság is hasonló döntést hozott a vonatkozó ügyben.</w:t>
      </w:r>
      <w:r>
        <w:rPr>
          <w:color w:val="000000"/>
          <w:sz w:val="24"/>
          <w:szCs w:val="24"/>
        </w:rPr>
        <w:br/>
        <w:t xml:space="preserve">Dolgozatom záró részében azt az utat igyekszem körüljárni, amely során az eljáró rendes bíróságok és az Alkotmánybíróság különböző következtetések eltérő levonásával bár, de azonos konklúzióra jutott; jelesül, hogy a jogsértő megnyilvánulások bizonyos esetköreiben, a súlyos érdeksérelmek jóvátétel maradásának elkerülése érdekében a tárhelyszolgáltató felelőssége igenis megállapítható.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96881">
    <w:multiLevelType w:val="hybridMultilevel"/>
    <w:lvl w:ilvl="0" w:tplc="42962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96881">
    <w:abstractNumId w:val="73396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134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