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SOMA TÖRÖK</w:t>
            </w:r>
          </w:p>
          <w:p w:rsidR="00C275A3" w:rsidRDefault="00A96AEC" w:rsidP="00C275A3">
            <w:pPr>
              <w:pStyle w:val="Hallgatokepzes"/>
            </w:pPr>
            <w:r>
              <w:t>legal studies</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Anett Pogácsás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Internet, freedom of speech and the responsibility of hosting providers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describe my examinations of the internet’s effects on the freedom of speech, also touching upon matters of society. In the process I drew the lesson that due to the sheer technological advancement our communication has gone through vital changes, which may be challenging for those taking part in such interaction, for both the legislator and the jury. In this unprecedented rate of pluralism of opinions, there is an increase in insults concerning the freedom of speech, however the adequate measure that straightens out the conflicts is still unknown.</w:t>
      </w:r>
      <w:r>
        <w:rPr>
          <w:color w:val="000000"/>
          <w:sz w:val="24"/>
          <w:szCs w:val="24"/>
        </w:rPr>
        <w:br/>
        <w:t xml:space="preserve">Internet providers play a major role in the functioning of the freedom of speech, judging their activities is important considering infringements. By this aspect we can distinguish those who can be accounted for these infringements materialised on the internet from those who can absolutely not be blamed. There’s also a group of people whose case might lead to contradictions, their situation is the main target of my examination.</w:t>
      </w:r>
      <w:r>
        <w:rPr>
          <w:color w:val="000000"/>
          <w:sz w:val="24"/>
          <w:szCs w:val="24"/>
        </w:rPr>
        <w:br/>
        <w:t xml:space="preserve">It was a view that took shape during the years that the web hosting services – given the right conditions - can be exempted from the responsibilities for derogatory contents. However the technological progress overwrote the justification of this construction of law, due to the spread of the web 2.0 services there has been several cases where the resulting status quo of this regulation has been found unequitable. In the Delfi vs Estonia case, the European Court of Human Rights was the first to determine, turning against the established legal practice, that the web hosting service is held responsible for the derogatory contents, no matter if it didn’t contribute to its formation. Substantially, the Constitutional Court made a similar decision in the relevant case.</w:t>
      </w:r>
      <w:r>
        <w:rPr>
          <w:color w:val="000000"/>
          <w:sz w:val="24"/>
          <w:szCs w:val="24"/>
        </w:rPr>
        <w:br/>
        <w:t xml:space="preserve">In the closing part of my paper I aim to go through the process in which the prosecuting courts and the Constitutional Court drew differently, yet still made the same conclusion; namely that the web hosting service can be held responsible in some cases of law violations, in order to relieve the wronged interests.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28657">
    <w:multiLevelType w:val="hybridMultilevel"/>
    <w:lvl w:ilvl="0" w:tplc="77519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28657">
    <w:abstractNumId w:val="53328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279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