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ANDRASOVSZKY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Pogácsás Anett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Amikor a helyzet kilátástalan - A szabad kilátáshoz való jog a jogági jogellenesség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tágabb témája a szomszédjog, melyet egy rövidebb bevezetés után taglalok. A szomszédjogi viszonyok körében gyakran előfordul, hogy egyes részeiket a magánjog, egyes részeiket pedig a közjog szabályoz. Ez nem lenne probléma, azonban ha a különböző jogterület által alkotott szabályok ellentétben állnak, az vitát szül, és az igazságszolgáltatást is megnehezíti. Ezt nevezzük jogági jogellenességnek. A bíróság feladata megtalálni az egyensúlyt a tulajdon szabadsága és korlátozhatósága között. A szomszédjogok tekintetében ez a határ a régi és az új Ptk. szövege szerint is a ’szükségtelen zavarás’.</w:t>
      </w:r>
      <w:r>
        <w:rPr>
          <w:color w:val="000000"/>
          <w:sz w:val="24"/>
          <w:szCs w:val="24"/>
        </w:rPr>
        <w:br/>
        <w:t xml:space="preserve">A szabad kilátáshoz való jog egy speciális példa. Ez a helyzet első ránézésre rendkívül egyszerűnek tűnik: a szomszéd jogerős közigazgatási engedéllyel saját ingatlant épít egy másik ház elé, mely ingatlan homlokzata – bár az építési engedélynek megfelelően épült – elvette az ablakból nyíló kilátást. Az sem ismeretlen természetesen, hogy a szebb kilátással rendelkező ingatlanok értéke jelentősen magasabb, így egy ilyen beruházás mindenképpen veszteséges. A szomszéd ingatlana megfelel a közigazgatás által kibocsátott engedélynek, az én (magánjog által védett) szabad kilátáshoz való jogom viszont sérül. Ez megalapozhatja a szomszéd kártérítési felelősségét, azonban ez fordítva is igaz: az építési engedélytől való eltérés még önmagában nem alapozza meg a felelősséget. A szabad kilátáshoz való jogon belül kifejtem, miként alakult a gyakorlatban a szükségtelen zavarás fogalma, milyen feladat elé állította a gyakorlatban a jogalkalmazót. Kitérek az ingatlanok értékcsökkenésére, illetve a bizonyítás ilyen esetben szintén fontos kérdésére.</w:t>
      </w:r>
      <w:r>
        <w:rPr>
          <w:color w:val="000000"/>
          <w:sz w:val="24"/>
          <w:szCs w:val="24"/>
        </w:rPr>
        <w:br/>
        <w:t xml:space="preserve">Külön fejezetet szenteltem a felelősség és a kimentés kérdésének, ugyanis a vizsgálódás így teljes. Emellett pedig a közérdekre való hivatkozás, mint kimentési lehetőség is szolgáltat érdekes eseteket.</w:t>
      </w:r>
      <w:r>
        <w:rPr>
          <w:color w:val="000000"/>
          <w:sz w:val="24"/>
          <w:szCs w:val="24"/>
        </w:rPr>
        <w:br/>
        <w:t xml:space="preserve">Kitérek Németország gyakorlatára, mely érdekes tanulságul szolgál. A német jogrendszer megkülönbözteti a ’magán- és közszomszédjogokat’, illetve kettős jogrendszer fedi le ezt a területet is. A felosztásból adódóan az eseteket is több oldalról közelíti meg, attól függően, hogy szerepel-e a jogviszonyban közjogi jogalany.</w:t>
      </w:r>
      <w:r>
        <w:rPr>
          <w:color w:val="000000"/>
          <w:sz w:val="24"/>
          <w:szCs w:val="24"/>
        </w:rPr>
        <w:br/>
        <w:t xml:space="preserve">A hatodik fejezetben összefoglalom a mű tanulságait, és olyan de lege ferenda javaslatokat állítok a jogalkotók és jogalkalmazók elé, melyek jobbá tehetnék a ma érvényes szabályozást. Dolgozatom legfontosabb konklúziója, hogy az egyensúlyteremtés legjobb módszere a teremtő és alkalmazó munka megfelelő összehangolása.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06233">
    <w:multiLevelType w:val="hybridMultilevel"/>
    <w:lvl w:ilvl="0" w:tplc="795594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06233">
    <w:abstractNumId w:val="470062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986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