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ANDRASOVSZKY</w:t>
            </w:r>
          </w:p>
          <w:p w:rsidR="00C275A3" w:rsidRDefault="00A96AEC" w:rsidP="00C275A3">
            <w:pPr>
              <w:pStyle w:val="Hallgatokepzes"/>
            </w:pPr>
            <w:r>
              <w:t>faculty of law</w:t>
            </w:r>
            <w:r>
              <w:br/>
            </w:r>
            <w:r w:rsidR="00E77B23">
              <w:t>Unified, 7. semester</w:t>
            </w:r>
          </w:p>
          <w:p w:rsidR="00C265CE" w:rsidRPr="009E5FF1" w:rsidRDefault="00E77B23" w:rsidP="009763E0">
            <w:pPr>
              <w:pStyle w:val="Hallgatointezmeny-kar"/>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Anett Pogácsás, dr.</w:t>
            </w:r>
          </w:p>
          <w:p w:rsidR="00DB4822" w:rsidRDefault="00DB4822" w:rsidP="009763E0">
            <w:pPr>
              <w:pStyle w:val="Konzulensektitulus"/>
            </w:pPr>
            <w:r w:rsidRPr="00DB4822">
              <w:t>assistance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When the situation is futureless - The right to the free view in light of the unlawfulness in a branch of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broad theme of my work is the law of the neighbourhood which is discussed after a short introducing. Some part of these relations is ruled by public law, and some by civil law. This would not be a problem, as long as these two parts are not contrary. These different bodies of law rules can cause debate between the neighbours, and the jurisdiction is difficult, too. This situation is called unlawfulness/illegality in a branch of law. The challenge and duty of the court is to find the balance between the freedom of ownership and the limited authority. According to the old and new Hungarian Civil Code, this border is the ’unnecessary interference’.</w:t>
      </w:r>
      <w:r>
        <w:rPr>
          <w:color w:val="000000"/>
          <w:sz w:val="24"/>
          <w:szCs w:val="24"/>
        </w:rPr>
        <w:br/>
        <w:t xml:space="preserve">The ‘right to the free view’, to the panorama is a special example. This case appears to be extremely simple: the neighbour build a house by right of a final building permit, in front of another house. The facade of this new property – although built according to the building permit – took away the view from the window. It is not unknown, too, that the valuable of the property with beautiful view is significantly higher, so such an investment is definitely a loss. The conduct of the neighbour is lawful, but then again my right to the sight is injured. This could cause the neighbour’s liability, but the reverse is also true; it makes no liability in itself.</w:t>
      </w:r>
      <w:r>
        <w:rPr>
          <w:color w:val="000000"/>
          <w:sz w:val="24"/>
          <w:szCs w:val="24"/>
        </w:rPr>
        <w:br/>
        <w:t xml:space="preserve">I explain in this chapter, how this notion ‘unnecessary interference’ conformed in the judicial and law enforcer custom. I mention the depreciation of properties and the important question of proof.</w:t>
      </w:r>
      <w:r>
        <w:rPr>
          <w:color w:val="000000"/>
          <w:sz w:val="24"/>
          <w:szCs w:val="24"/>
        </w:rPr>
        <w:br/>
        <w:t xml:space="preserve">A separate chapter is devoted to the issue of liability and the exculpating to make the inquest complete. In addition, the reference to the public interest, as an option of exculpation also provides interesting cases.</w:t>
      </w:r>
      <w:r>
        <w:rPr>
          <w:color w:val="000000"/>
          <w:sz w:val="24"/>
          <w:szCs w:val="24"/>
        </w:rPr>
        <w:br/>
        <w:t xml:space="preserve">I mention this regard Germany's judicial custom, which serves an interesting lesson. The German legal system distinguishes between ‘private and public rights’ of neighbors and dual legal system covers that area. Due to these private and public rights, the cases are approached from two sides, depending on the presence of a public entity.</w:t>
      </w:r>
      <w:r>
        <w:rPr>
          <w:color w:val="000000"/>
          <w:sz w:val="24"/>
          <w:szCs w:val="24"/>
        </w:rPr>
        <w:br/>
        <w:t xml:space="preserve">In the sixth chapter I sum up the lessons learned from my work and I claim some de lege ferenda proposals for the lawmakers and law enforcers. Maybe they can improve the current legislation. The most important conclusion of my essay that best way of balancing is the harmonising of creating and applying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574965">
    <w:multiLevelType w:val="hybridMultilevel"/>
    <w:lvl w:ilvl="0" w:tplc="791253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574965">
    <w:abstractNumId w:val="635749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49068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