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VADÁSZ VANDA</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Szabó Sarolta</w:t>
            </w:r>
          </w:p>
          <w:p w:rsidR="00DB4822" w:rsidRDefault="00DB4822" w:rsidP="009763E0">
            <w:pPr>
              <w:pStyle w:val="Konzulensektitulus"/>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jogellenesen külföldre vitt kulturális javak visszaszolgáltatása Nagy-Britanniában - a Seuso ügy kapcsán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apropójául egy nagy sajtóvisszhangot kapott, titokzatos és kalandos ügy, a Seuso eset szolgál. A világ egyik legjelentősebb antik kincsleletének modern kori története feltehetően Magyarországon kezdődött az 1970-es években, azonban lelőhelyét máig tisztázatlan módon elhagyva a kincsek nagy része évekkel később Londonban talált gazdát. Írásomban az Olvasó végigkövetheti a kincsek sorsát, megismerve az 1993-as New York-i per részleteit, valamint a tárgyak 2014-es hazatérésének körülményeit. Az elragadó Seuso történet bemutatásával egyidejűleg feltárulnak előttünk a nemzetközi műkincs piac szabályozásának sajátosságai, valamint, sajnos, annak hiányosságai is.</w:t>
      </w:r>
      <w:r>
        <w:rPr>
          <w:color w:val="000000"/>
          <w:sz w:val="24"/>
          <w:szCs w:val="24"/>
        </w:rPr>
        <w:br/>
        <w:t xml:space="preserve">A kulturális javak fekete kereskedelme több milliárd dollárt mozgat meg évente, amelyet csak a nemzetközi kábítószer piac által mozgatott pénzmennyiség múl fölül. Szomorú tény, hogy az eltulajdonított műtárgyak visszaszolgáltatásának aránya rendkívül alacsony. A kulturális javak védelmének szabályozása ennél fogva mindenképpen egy reformért kiáltó jogterület. Ennek fontosságát hangsúlyozva dolgozatomban megvizsgálom a Seuso ügyben leginkább érintett két ország, Nagy-Britannia és Magyarország kulturális javakat érintő védelmi szabályrendszerét.</w:t>
      </w:r>
      <w:r>
        <w:rPr>
          <w:color w:val="000000"/>
          <w:sz w:val="24"/>
          <w:szCs w:val="24"/>
        </w:rPr>
        <w:br/>
        <w:t xml:space="preserve">A nemzetközi, európai uniós, valamint az angol és a magyar hazai szabályozást bemutatva az Olvasó átfogó képet kap a műtárgykivitelt érintő, valamint a műtárgyak védelmére kialakított speciális szabályozásról. Elemzésemben kiemelt jelentőséget kap a brit kiviteli engedélyezési eljárás ismertetése, tekintettel arra, hogy annak „halasztott export” intézménye véleményem szerint a hazai szabályozás fejlesztése szempontjából is érdemes a vizsgálatra.</w:t>
      </w:r>
      <w:r>
        <w:rPr>
          <w:color w:val="000000"/>
          <w:sz w:val="24"/>
          <w:szCs w:val="24"/>
        </w:rPr>
        <w:br/>
        <w:t xml:space="preserve">Írásomban hangsúlyt fektettem a nemzetközi szabályozási fejlemények bemutatására, hangsúlyozva azon nézetet, mely szerint az elképesztő méreteket öltő illegális műtárgy kereskedelem ellen hatékonyan fellépni csak az államok összefogásával lehetséges. Az erre irányuló, bemutatott kezdeményezések mindenképpen pozitív fejlemények, azonban láthatóan ezek hatásfoka erősen korlátozott marad, amíg a nagy műtárgy piaccal rendelkező államok gazdasági érdekeiket kulturális örökségük megóvása elé helyezik. Dolgozatomban ennek megfelelően felhívom a figyelmet a műtárgyakat érintő szabályozással kapcsolatban a globális szemléletmód szükségességére.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91250">
    <w:multiLevelType w:val="hybridMultilevel"/>
    <w:lvl w:ilvl="0" w:tplc="74107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91250">
    <w:abstractNumId w:val="23591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920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