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VANDA VADÁSZ</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Sarolta Szabó</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restitution of illegally exported cultural property in the United Kingdom – with regard to the case of the Seuso Treasure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essay is based on a highly publicized, mysterious and adventurous affair, the case of the Seuso Treasure. The history of one of the modern time’s most important find of ancient treasure probably began in Hungary in the 1970s, but in a short time, under unclear circumstances the objects left their original site and found a new owner in London. In my article the Reader can follow the fate of the treasures, learning about the 1993 New York trial details, and circumstances of their 2014 return. The fascinating story of Seuso Treasure presents us the features of the regulations of the international antiquities market, and, unfortunately, its inadequacy.</w:t>
      </w:r>
      <w:r>
        <w:rPr>
          <w:color w:val="000000"/>
          <w:sz w:val="24"/>
          <w:szCs w:val="24"/>
        </w:rPr>
        <w:br/>
        <w:t xml:space="preserve">The illegal trade of cultural goods’ market value is estimated in the billions annually, and in terms of revenue only exceeded by international drug trafficking. The sad fact is that the rate of return of stolen works of art is extremely low. Regulating the protection of cultural property, therefore, is definitely an area of law that needs a reform. Emphasizing the importance of this, my dissertation examines the cultural property protection system of the two most relevant countries in the Seuso case, the UK and Hungary.</w:t>
      </w:r>
      <w:r>
        <w:rPr>
          <w:color w:val="000000"/>
          <w:sz w:val="24"/>
          <w:szCs w:val="24"/>
        </w:rPr>
        <w:br/>
        <w:t xml:space="preserve">Presenting the international, European Union, English and Hungarian domestic legislation, the Reader get a comprehensive view of the structure of special regulations concerning the export and the protection of works of art. In my analysis I highlighted a description of the British export licensing procedures, having regard to the fact that in my opinion the institution of “deferred export” is serving the development of domestic legislation.</w:t>
      </w:r>
      <w:r>
        <w:rPr>
          <w:color w:val="000000"/>
          <w:sz w:val="24"/>
          <w:szCs w:val="24"/>
        </w:rPr>
        <w:br/>
        <w:t xml:space="preserve">In my article, I focused on presenting the international regulatory developments, emphasizing the idea that the astonishing rate of illegal art trade only could be beaten by the collaboration of states. The initiatives in this direction is definitely shown some positive developments, but apparently these efficiency remains very limited until the states with large cultural markets place protection of their cultural heritage ahead of their economic interests. In accordance with this, in my dissertation, I will stress the importance of a global approach that is necessary to achieve unified regulations regarding artifacts.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59613">
    <w:multiLevelType w:val="hybridMultilevel"/>
    <w:lvl w:ilvl="0" w:tplc="49123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59613">
    <w:abstractNumId w:val="819596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894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