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BIKKI VIVIEN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Navratyil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Kárként a családban - Egy gyermek, mint kár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a kártérítési felelősség és kártérítési igényeknek egy olyan területe, amely a klasszikus polgárjogi kártérítési felelősség egyes elemeit teljesen új megvilágításba helyezi, és sokszor kifordítja önmagukból. A kutatás célja pedig nem volt más, mint megmutatni azt, hogy a jogszabályok racionális sokaságával, következetes és tudatos alkalmazásával sem lehet mindig igazságosan dönteni. A dolgozatomban a kártérítési felelősség és igényeknek egy olyan területét vizsgáltam, ahol a kár egy gyermek személyében jelenik meg. A feldolgozott esetekben a szülők kártérítési igényeinek az alapját a már megszületett gyermekük adta, akár egészségesen, akár fogyatékosan született is meg. Lehet-e egy gyermek kár? Létezését, valamint a felnevelésével járó költségeket, terheket lehet-e jogi értelemben kárnak minősíteni? Ha felmerül, akkor hogyan tudnak a bíróságok egy „gyermek, mint kár” esetet pusztán a jog eszközeivel megoldani? Egy gyermek képes-e bármiféle hátrányos változást hozni egy család számára, egy szülő számára, amit kompenzálni lehet/kell a jog és a kártérítés eszközeivel? Egyáltalán felmerülhetnek e bárkiben is ezek a kérdések? Egészséges gyermek esetén – wrongful conception igényeknél – a szülők kártérítési igényét, fogyatékos gyermek megszületése esetén a szülők igényét – wrongful birth igények, - illetve a fogyatékos gyemek saját jogán indított kártérítési igényeit – wrongful life ifények – vizsgáltam.</w:t>
      </w:r>
      <w:r>
        <w:rPr>
          <w:color w:val="000000"/>
          <w:sz w:val="24"/>
          <w:szCs w:val="24"/>
        </w:rPr>
        <w:br/>
        <w:t xml:space="preserve">A dolgozatomban ezekre a kérdésekre kerestem választ, bemutatva a nemzetközi és a magyar ítélkezési gyakorlat sajátosságait, hasonlóságait és sokszor ellentmondásait. A dolgozatban Németország, az Amerikai Egyesült Államok illetve Anglia gyakorlatát vizsgáltam nemzetközi téren. Utóbbi kettő gyakorlata hozta a hasonlóságokat a sajátosságaikkal együtt, míg Németország képezte a dolgozat ellenpontját, nem csak a többi országgal szemben, de saját belső ítélkezési gyakorlatán belül is.</w:t>
      </w:r>
      <w:r>
        <w:rPr>
          <w:color w:val="000000"/>
          <w:sz w:val="24"/>
          <w:szCs w:val="24"/>
        </w:rPr>
        <w:br/>
        <w:t xml:space="preserve">A dolgozat végére érve sem sikerült teljes bizonyossággal egyetértenem egyik kialakult gyakorlat mellett sem, hiszen ebben a témában kicsit is mélyebben elmerülve rájön az ember, hogy nem lehet minden kétséget kizáróan egyet érteni egyik gyakorlattal sem. Nem lehet pusztán a jog tiszta és teljesen egyértelmű, fekete vagy fehér eszköztárával méltányos választ találni ezekre a kérdésekre. Mindenkinek a saját döntése, saját beismerése, saját értékrendje szerint és természetesen a jog adta kereteket felhasználva kell választ találnia ezekre az esetekre.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629009">
    <w:multiLevelType w:val="hybridMultilevel"/>
    <w:lvl w:ilvl="0" w:tplc="16530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629009">
    <w:abstractNumId w:val="806290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974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