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BIKKI</w:t>
            </w:r>
          </w:p>
          <w:p w:rsidR="00C275A3" w:rsidRDefault="00A96AEC" w:rsidP="00C275A3">
            <w:pPr>
              <w:pStyle w:val="Hallgatokepzes"/>
            </w:pPr>
            <w:r>
              <w:t>Faculty of Law</w:t>
            </w:r>
            <w:r>
              <w:br/>
            </w:r>
            <w:r w:rsidR="00E77B23">
              <w:t>Unified, 7.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Navratyil PhD</w:t>
            </w:r>
          </w:p>
          <w:p w:rsidR="00DB4822" w:rsidRDefault="00DB4822" w:rsidP="009763E0">
            <w:pPr>
              <w:pStyle w:val="Konzulensektitulus"/>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Wrongful conception - wrongful birth - wrongful life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investigation is a pretty important side of civil law. I examined a kind of side of the responsibility of damages and the request of indemnification that reflect on the elements of indemnificaton in a totally different way. The aim of my examination was to show, that people can not always make fair decisions, whether they use the law in a conscious way. I hightlighted the situation when the basis of the damages request is a disabled or a healthy child. So, we can impose the question, could it happen, that a child is a damage?His being, the costs of his life, could it be qualified as a damage?If it could be, how can judges solve this problem by using the instruments of law?Is a child able to mean a kind of disadvantage to the family, that must be compensated by the means of indemnification? I investigated the cases of healty children ( requests of wrongful conception), disabled children when parents make a request (wrongful birth) and when the children make the request (wrongful life).</w:t>
      </w:r>
      <w:r>
        <w:rPr>
          <w:color w:val="000000"/>
          <w:sz w:val="24"/>
          <w:szCs w:val="24"/>
        </w:rPr>
        <w:br/>
        <w:t xml:space="preserve">I made my research on the above mentioned questions with a comparison between international and hungarian law practice. In connection to the international side, I wrote about England, the U.S.A (as similar practices) and Germany (that represented the opposite side of the law practice).</w:t>
      </w:r>
      <w:r>
        <w:rPr>
          <w:color w:val="000000"/>
          <w:sz w:val="24"/>
          <w:szCs w:val="24"/>
        </w:rPr>
        <w:br/>
        <w:t xml:space="preserve">When I reached the end of my essay, I was not able to decide which side to support, because in my opinion if someone examine this topic in a deeper way, to make this decision is getting harder and harder. As for me the means of law is not the best solution to find the answer. The key is up to you, it is your morality, your conscious that tells you the answer.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79604">
    <w:multiLevelType w:val="hybridMultilevel"/>
    <w:lvl w:ilvl="0" w:tplc="91398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79604">
    <w:abstractNumId w:val="46579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536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