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BIANKA BOHATI</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Sarolta Szabó</w:t>
            </w:r>
          </w:p>
          <w:p w:rsidR="00DB4822" w:rsidRDefault="00DB4822" w:rsidP="00E11062">
            <w:pPr>
              <w:pStyle w:val="Konzulensek"/>
            </w:pPr>
            <w:r w:rsidRPr="00DB4822">
              <w:t>associate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EU vs. WTO - questions related to the EU's impeachment in relation to the WTO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purpose of the present paper and research is to make a description about what kind of practices of refusal have been introduced by the European Union in connection with the rights of WTO.</w:t>
      </w:r>
      <w:r>
        <w:rPr>
          <w:color w:val="000000"/>
          <w:sz w:val="24"/>
          <w:szCs w:val="24"/>
        </w:rPr>
        <w:br/>
        <w:t xml:space="preserve">In most cases, the procedures of the EU’s are depicted through related legal cases. The main goal of examining these cases is to present and unfold the underlying problems of refusing legal practices which over the course of time became insensitive to change. This „approach” has been the reason of intensive debates over decades, which began with the foundation of GATT, and has resulted in a long chain of reactions whose influence can be still sensed up until today.</w:t>
      </w:r>
      <w:r>
        <w:rPr>
          <w:color w:val="000000"/>
          <w:sz w:val="24"/>
          <w:szCs w:val="24"/>
        </w:rPr>
        <w:br/>
        <w:t xml:space="preserve">It is essential to highlight that trivial fact that, not surprisingly, in the field of world trade, the main leading role is casted to those states which obtain a more significant economic potential. Since this paper has been written in the ’old continent’, the conclusions drawn from legal cases and the resulting problems concerned are discussed in relation to the European Union accordingly.</w:t>
      </w:r>
      <w:r>
        <w:rPr>
          <w:color w:val="000000"/>
          <w:sz w:val="24"/>
          <w:szCs w:val="24"/>
        </w:rPr>
        <w:br/>
        <w:t xml:space="preserve">As a conclusion, it is stated that the viewpoint of the approach mentioned above makes impossible the vindication of individual rights. This disadvantage is caused by countermoves initiated against individuals and due to refusing practices of the EU. A solution to these problems proposed could be that if the EU, besides placing its interest forward, took into consideration the interests of individuals and, in the light of these, reconsidered its attitude towards the rights of WTO.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182510">
    <w:multiLevelType w:val="hybridMultilevel"/>
    <w:lvl w:ilvl="0" w:tplc="464109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182510">
    <w:abstractNumId w:val="301825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76570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