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BARNAFÖLDI</w:t>
            </w:r>
          </w:p>
          <w:p w:rsidR="00C275A3" w:rsidRDefault="00A96AEC" w:rsidP="00C275A3">
            <w:pPr>
              <w:pStyle w:val="Hallgatokepzes"/>
            </w:pPr>
            <w:r>
              <w:t>Intermedia</w:t>
            </w:r>
            <w:r>
              <w:br/>
            </w:r>
            <w:r w:rsidR="00E77B23">
              <w:t>MA, 9.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Peternák</w:t>
            </w:r>
          </w:p>
          <w:p w:rsidR="00DB4822" w:rsidRDefault="00DB4822" w:rsidP="00E11062">
            <w:pPr>
              <w:pStyle w:val="Konzulensek"/>
            </w:pPr>
            <w:r w:rsidRPr="00DB4822">
              <w:t>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 Parts to be Learnt by all Means”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„Text Parts to be Learnt by all Means”</w:t>
      </w:r>
      <w:r>
        <w:rPr>
          <w:color w:val="000000"/>
          <w:sz w:val="24"/>
          <w:szCs w:val="24"/>
        </w:rPr>
        <w:br/>
        <w:t xml:space="preserve">Installation, mixed technique, 2012</w:t>
      </w:r>
      <w:r>
        <w:rPr>
          <w:color w:val="000000"/>
          <w:sz w:val="24"/>
          <w:szCs w:val="24"/>
        </w:rPr>
        <w:br/>
        <w:t xml:space="preserve">„Text parts to be learnt by all means are highlighted with bold.” The authors indicate with this sentence in the preface of a secondary school History book why they use bold in the textbook. I transformed a 1977* and 2002** history textbook in a way that I cut out only the highlighted and the underlined text parts from the textbooks. I placed these next to each other, glued them and presented them in form of a roll, as an installation. Durnig my work the selection that the authors used with difference of about 25 years very important for me. What remained, what changed, what became more or less, out of the „texts to be by all means”?</w:t>
      </w:r>
    </w:p>
    <w:p>
      <w:pPr>
        <w:widowControl w:val="on"/>
        <w:pBdr/>
        <w:spacing w:before="240" w:after="240" w:line="240" w:lineRule="auto"/>
        <w:ind w:left="0" w:right="0"/>
        <w:jc w:val="left"/>
      </w:pPr>
      <w:r>
        <w:rPr>
          <w:color w:val="000000"/>
          <w:sz w:val="24"/>
          <w:szCs w:val="24"/>
        </w:rPr>
        <w:t xml:space="preserve">*Unger Mátyás: Történelem a gimnáziumok III. osztálya számára. Tizedik, átdolgozott kiadás. Tankönyvkiadó, Budapest, 1977. [1967]</w:t>
      </w:r>
      <w:r>
        <w:rPr>
          <w:color w:val="000000"/>
          <w:sz w:val="24"/>
          <w:szCs w:val="24"/>
        </w:rPr>
        <w:br/>
        <w:t xml:space="preserve">**Závodszky Géza: Történelem III. a középiskolák számára. Hetedik, átdolgozott kiadás. Nemzeti Tankönyvkiadó, Budapest, 2002. [1999]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47568">
    <w:multiLevelType w:val="hybridMultilevel"/>
    <w:lvl w:ilvl="0" w:tplc="29297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47568">
    <w:abstractNumId w:val="15347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94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