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VÁN GYÖNGYVÉR JANKA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Udvardy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Otthontalán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Beköltöztem.</w:t>
      </w:r>
      <w:r>
        <w:rPr>
          <w:color w:val="000000"/>
          <w:sz w:val="24"/>
          <w:szCs w:val="24"/>
        </w:rPr>
        <w:br/>
        <w:t xml:space="preserve">Kiválasztottam, milyen színű legyen a fotel, hol legyen a kanapé és milyen magasságba csavarozzuk a tévét. Amennyire tőlem tellett igyekeztem lakájossá tenni a körülményeket. Még a képet is díszes keretbe foglaltam. A falak mentén sajnos minél többet söpörtem annál nagyobb lett a por és a szag sem tűnt el. A polcokra már nem tudtam semmit rakni, de nem is baj. Nem lakni jöttem ide és nem én fogok itt lakni. A háznak még nem tudni mi lesz a sorsa, de amíg nincs felújítva, a munkám itt marad és nem költözhet ide állandó lakó, ahogy a többi helyiségbe sem. A szoba nem otthona senkinek, ahogy a bútoraim sem kényelmesek. Kihasználatlan időtlen tér. Funkciójától fosztott, kigúnyolt ház. Hasztalan heroikus művészet.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97721">
    <w:multiLevelType w:val="hybridMultilevel"/>
    <w:lvl w:ilvl="0" w:tplc="97228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97721">
    <w:abstractNumId w:val="49197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394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