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IDZIG IZABELLA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büntetőeljárás garanciális szabályai - különös tekintettel a védelemhez való jogra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büntetőeljárás garanciális, részben alaptörvényi szabályait a vonatkozó joggyakorlat, az Alkotmánybíróság, az Emberi Jogok Európai Bíróságának esetjoga és a kapcsolódó uniós szabályozás alapján igyekszik körbejárni - különös figyelmet fordítva a védelemhez való jog és az ehhez közvetlenül kapcsolódó védői jogok kérdéskörére.</w:t>
      </w:r>
      <w:r>
        <w:rPr>
          <w:color w:val="000000"/>
          <w:sz w:val="24"/>
          <w:szCs w:val="24"/>
        </w:rPr>
        <w:br/>
        <w:t xml:space="preserve">Ennek keretében vizsgálat tárgyává teszi a jogállamiság, jogbiztonság kérdését, az államhatalmi ágak megosztásának elvét, az alapjogok és a büntetőjog kapcsolatát, a törvény előtti egyenlőség, a tisztességes eljáráshoz való jog, az ésszerű határidőn belüli elbírálás, a független és pártatlan bírósághoz való jog, a nyilvánosság elve, az ártatlanság vélelme, a jogorvoslati jog, illetve az anyanyelv használatának jogát.</w:t>
      </w:r>
      <w:r>
        <w:rPr>
          <w:color w:val="000000"/>
          <w:sz w:val="24"/>
          <w:szCs w:val="24"/>
        </w:rPr>
        <w:br/>
        <w:t xml:space="preserve">A védelemhez való jog kapcsán a történeti előzményeken túl vizsgálja a hatályos szabályozást, a védői jogviszony keletkezésével és megszűnésével kapcsolatos mind a meghatalmazott, mind a kirendelt védő kapcsán, rövid kitekintve a helyettes védő jogintézményére is. A kötelező védelem kérdéskörét döntően a vonatkozó joggyakorlat tükrében mutatja be, míg a védői jogok és kötelezettségek elsődlegesen a fegyveregyenlőség vizsgálja, míg a felmerülő érdekellentétek kérdését szintén a joggyakorlat alapján közelíti meg.</w:t>
      </w:r>
      <w:r>
        <w:rPr>
          <w:color w:val="000000"/>
          <w:sz w:val="24"/>
          <w:szCs w:val="24"/>
        </w:rPr>
        <w:br/>
        <w:t xml:space="preserve">A szerző vizsgálódása – jellemzően gyakorlati vonatkozású – tapasztalatait a de lege ferenda javaslatok között összegzi.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7801">
    <w:multiLevelType w:val="hybridMultilevel"/>
    <w:lvl w:ilvl="0" w:tplc="16641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7801">
    <w:abstractNumId w:val="10697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51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