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IZABELLA IDZIG</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Pázmány Péter Catholic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Molnár</w:t>
            </w:r>
          </w:p>
          <w:p w:rsidR="00DB4822" w:rsidRDefault="00DB4822" w:rsidP="00E11062">
            <w:pPr>
              <w:pStyle w:val="Konzulensek"/>
            </w:pPr>
            <w:r w:rsidRPr="00DB4822">
              <w:t>assistant professor,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Warranty rules of criminal procedure - in particular the rights of the defense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dissertation review the letters of the criminal procedure, walk around on the basis of the relevant case law, the Hungarian Constitutional Court, the European Court of Human Rights case law and the relevant EU legislation - with special attention to the rights of the defense and the directly related defense rights issues range.</w:t>
      </w:r>
      <w:r>
        <w:rPr>
          <w:color w:val="000000"/>
          <w:sz w:val="24"/>
          <w:szCs w:val="24"/>
        </w:rPr>
        <w:br/>
        <w:t xml:space="preserve">In this context, an inquiry into the rule of law, the issue of legal certainty, the principle of state powers sharing of basic rights and criminal law relationship, equality before the law, to a fair trial, examination within a reasonable period of time to an independent and impartial tribunal, in the the principle of publicity, the presumption of innocence, the right of appeal and the right to use their mother tongue.</w:t>
      </w:r>
      <w:r>
        <w:rPr>
          <w:color w:val="000000"/>
          <w:sz w:val="24"/>
          <w:szCs w:val="24"/>
        </w:rPr>
        <w:br/>
        <w:t xml:space="preserve">In connection with the defense of the historical background, in addition to examining the existing legislation relating to the defense of relationship formation and disappearance of both authorized and in connection with the defense counsel, short protective legal institution is looking out of the deputy. The issue of mandatory protection mainly presents the basis of the relevant case law, and the defense of rights and obligations primarily examines the equality of arms, while the issue of conflicts of interest arise again approaches based on the practice of law.</w:t>
      </w:r>
      <w:r>
        <w:rPr>
          <w:color w:val="000000"/>
          <w:sz w:val="24"/>
          <w:szCs w:val="24"/>
        </w:rPr>
        <w:br/>
        <w:t xml:space="preserve">The investigation by the author - typically practical relevance - sums up the experience between the de lege proposals.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51489">
    <w:multiLevelType w:val="hybridMultilevel"/>
    <w:lvl w:ilvl="0" w:tplc="132223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51489">
    <w:abstractNumId w:val="96851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3212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