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BEATA BALAZS</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Mihály Tóth</w:t>
            </w:r>
          </w:p>
          <w:p w:rsidR="00DB4822" w:rsidRDefault="00DB4822" w:rsidP="00E11062">
            <w:pPr>
              <w:pStyle w:val="Konzulensek"/>
            </w:pPr>
            <w:r w:rsidRPr="00DB4822">
              <w:t>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concept of danger in penal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paper focuses on the concept of danger and its role in criminal law. In the following, I will raise and attempt to answer questions about which many criminal lawyers are still unsure. Such as; how is it possible to determine the emergence of direct danger? Where does the distinction between relevant and irrelevant danger in criminal law? Can direct danger be enhanced?</w:t>
      </w:r>
      <w:r>
        <w:rPr>
          <w:color w:val="000000"/>
          <w:sz w:val="24"/>
          <w:szCs w:val="24"/>
        </w:rPr>
        <w:br/>
        <w:t xml:space="preserve">In the first part of my paper I present and explain certain authors’ views on danger, and how they define it as a concept. Then I move on to the publication of the Special Part of the Criminal Code, which I examine from a dogmatical point of view, followed by the scrutiny of the practical projections of each given category. During my research I realised that the definition of the various categories of danger in the secondary sources are not in agreement. The fact that the distinctions between certain categories of danger are quite vague, makes it difficult to clearly categorise a given crime by definition. It was only very rarely that I came across individual instances where the court gave an explanation on how they came to a conclusion regarding the quality of danger. Consequently, I raise the question of whether increasing the risk of direct danger is possible.</w:t>
      </w:r>
      <w:r>
        <w:rPr>
          <w:color w:val="000000"/>
          <w:sz w:val="24"/>
          <w:szCs w:val="24"/>
        </w:rPr>
        <w:br/>
        <w:t xml:space="preserve">Subsequently, I discuss the presence of the concept of danger in the General Part of the Criminal Code, including the danger caused during the preparation or the attempt for a crime then I proceed to place these criminal stages in the previously formed system. Lastly, I analyse the problematics of the danger caused by or during voluntary withdrawal, damage control as well as the danger caused by inadequacy, building up my argument in every case on the foundation of a legal practice. All of the above are relevant in büntetéskiszabás.</w:t>
      </w:r>
      <w:r>
        <w:rPr>
          <w:color w:val="000000"/>
          <w:sz w:val="24"/>
          <w:szCs w:val="24"/>
        </w:rPr>
        <w:br/>
        <w:t xml:space="preserve">The purpose of my paper is the creation of a coherent system. My goal was to conduct research and systematise on a theoretical level in such a way, that my findings may be of practical use in the process of determining the degree of danger during the examination of the facts of a case.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62529">
    <w:multiLevelType w:val="hybridMultilevel"/>
    <w:lvl w:ilvl="0" w:tplc="94150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62529">
    <w:abstractNumId w:val="451625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04143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