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KUSTÁR</w:t>
            </w:r>
          </w:p>
          <w:p w:rsidR="00C275A3" w:rsidRDefault="00A96AEC" w:rsidP="00C275A3">
            <w:pPr>
              <w:pStyle w:val="Hallgatokepzes"/>
            </w:pPr>
            <w:r>
              <w:t>faculty of law</w:t>
            </w:r>
            <w:r>
              <w:br/>
            </w:r>
            <w:r w:rsidR="00E77B23">
              <w:t>Unified, 6.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Molnár</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Basical lines of the Criminology of Human Trafficing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study was to examine the ’hows’ and the ’whys’ of human trafficing. The offences that cross borderlines are generally being regulated in the nations own ’Criminal Codexes’ beside the international treaties but we must consider the fact that this phenomenon is getting a greater issue by the day. In my study I place the emphasis on the examination of international treaties beside the operative national regulations.</w:t>
      </w:r>
    </w:p>
    <w:p>
      <w:pPr>
        <w:widowControl w:val="on"/>
        <w:pBdr/>
        <w:spacing w:before="240" w:after="240" w:line="240" w:lineRule="auto"/>
        <w:ind w:left="0" w:right="0"/>
        <w:jc w:val="left"/>
      </w:pPr>
      <w:r>
        <w:rPr>
          <w:color w:val="000000"/>
          <w:sz w:val="24"/>
          <w:szCs w:val="24"/>
        </w:rPr>
        <w:br/>
        <w:t xml:space="preserve">The issue of human trafficing is gaining an even bigger proportion and so I highlighted the different types of victims. It was shocking to uncover during the examination of human trafficing aiming the sextrade that certain strata of victims could break out from their situation, but they can’t, because they do not realize that they are abused. Our national investigative agencies thus try to draw the attention of the women looking for a job in abroad to the issues of this topic. It is important for the civil organizations to cooperate with the authorities to develop sufficient preventive methods. The importance of the method is supported by the fact that the tools of sufficient rehabilitation of victims are in the hands of the civil organizations.</w:t>
      </w:r>
    </w:p>
    <w:p>
      <w:pPr>
        <w:widowControl w:val="on"/>
        <w:pBdr/>
        <w:spacing w:before="240" w:after="240" w:line="240" w:lineRule="auto"/>
        <w:ind w:left="0" w:right="0"/>
        <w:jc w:val="left"/>
      </w:pPr>
      <w:r>
        <w:rPr>
          <w:color w:val="000000"/>
          <w:sz w:val="24"/>
          <w:szCs w:val="24"/>
        </w:rPr>
        <w:br/>
        <w:t xml:space="preserve">In the aspect of offenders usually two types can be differentiated. The first one commits the crime in an organized fashion so the gravity and investigative difficulties of organized crime can not be overlooked. The other type of offender usually comes from the smaller circle of aquitance of the victims and they are being manipulated by emotions in order to be used in an exploitative way. The line between trafficing of humans and smuggling of humans is thin so I placed an emphasis on differentiating the very essence of the legal questions of these to crimes.</w:t>
      </w:r>
    </w:p>
    <w:p>
      <w:pPr>
        <w:widowControl w:val="on"/>
        <w:pBdr/>
        <w:spacing w:before="240" w:after="240" w:line="240" w:lineRule="auto"/>
        <w:ind w:left="0" w:right="0"/>
        <w:jc w:val="left"/>
      </w:pPr>
      <w:r>
        <w:rPr>
          <w:color w:val="000000"/>
          <w:sz w:val="24"/>
          <w:szCs w:val="24"/>
        </w:rPr>
        <w:br/>
        <w:t xml:space="preserve">Sweden was the first country that started to punish those who are seeking out the services of prostitution. The so called ’swedish model’ with 10 years of experience behind its back gave foundation of examination and support for setting up policy advices de lege ferenda. These kind of regulations can not be found in the Hungarian regulation.</w:t>
      </w:r>
    </w:p>
    <w:p>
      <w:pPr>
        <w:widowControl w:val="on"/>
        <w:pBdr/>
        <w:spacing w:before="240" w:after="240" w:line="240" w:lineRule="auto"/>
        <w:ind w:left="0" w:right="0"/>
        <w:jc w:val="left"/>
      </w:pPr>
      <w:r>
        <w:rPr>
          <w:color w:val="000000"/>
          <w:sz w:val="24"/>
          <w:szCs w:val="24"/>
        </w:rPr>
        <w:br/>
        <w:t xml:space="preserve">As a final conclusion I have determined that the national regulations are in sufficient harmony with the international treaties, but in order to reduce the number of victims the best option would be the implementation of the ’swedish model’ beside the development of the national social service providers to help the living situations of those who live on the fringes of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21620">
    <w:multiLevelType w:val="hybridMultilevel"/>
    <w:lvl w:ilvl="0" w:tplc="34825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21620">
    <w:abstractNumId w:val="35221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582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