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CSEH TIBOR ANDRÁS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Mikó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megbízott oktató,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Külföldi személyek földtulajdon-szerzése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köztudatba új földtörvényként beépülő, 2013. évi CXXII. törvényt a mező-és erdőgazdasági földek forgalmáról már megalkotásakor éles bírálatok érték a szakmai és politikai paletta majd’ minden oldaláról. Egyesek a kiváló minőségű magyar termőföld külföldi tulajdonba kerülését, mások a rendelkezési jog jelentős korlátozását rótták fel a megalkotott jogszabálynak. A viharos fogadtatás és a téma specialitása miatt a tájékozott emberben is kérdőjelek merülhetnek fel az új szabályozás megítélését és gyakorlati megvalósulását illetően. Az új földtörvény kettős elvárásnak próbál eleget tenni: egyszerre kell megfelelnie az Európai Unió szabadpiaci normáinak és megvédenie a hazai termőföldeket és a magyar gazdák érdekeit. Dolgozatomban a külföldi személyek földtulajdonhoz jutását vizsgálom a szabályozás erre vonatkozó releváns részeinek bemutatásával. Kutatásom célja nem csupán az egyes tulajdonszerzési feltételek ismertetése, hanem az új földforgalmi szabályozásnak mintául szolgáló külföldi gyakorlat elemzése, és az átvétel társadalmi-gazdasági okainak megfejtése. Vizsgálódásaim során következtetéseket vontam le ezzel kapcsolatban, amiket a dolgozatban vázolok is. Az új földforgalmi szabályozás sikerét egyelőre csak a jövő mondhatja meg, azonban a magyar regulának mintául szolgáló tulajdonszerzési feltételek tőlünk nyugatra már bizonyították alkalmasságukat. Meglátásom szerint európai mértékkel nézve is szigorú, a termőföld védelmét elsődlegesnek tekintő agrártörvények születtek. Dolgozatom záró részében összegzem a külföldi személyek földtulajdon-szerzésének előnyeit és hátrányait, vázolom a jogi személyek tulajdonszerzésének jelenlegi problémáját és több javaslattal is előállok.</w:t>
      </w:r>
      <w:r>
        <w:rPr>
          <w:color w:val="000000"/>
          <w:sz w:val="24"/>
          <w:szCs w:val="24"/>
        </w:rPr>
        <w:br/>
        <w:t xml:space="preserve">Végső konklúzióként leírom, hogy az említett kritikák egy részét már önmagukban hibásnak tartom, ugyanis miért lenne az baj, ha dán, olasz vagy angol gazdák hazánkban kezdenének a föld műveléséhez, magas szintű termelési technikáikat magukkal hozva? Véleményem szerint az állampolgárság kérdése másodlagos, a hangsúlynak sokkal inkább a spekulációs törekvések megakadályozásán kellene lennie, a mezőgazdasági termelés hatékonyságát ugyanis csak a kiegyensúlyozott birtokviszonyok szolgálhatják.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398228">
    <w:multiLevelType w:val="hybridMultilevel"/>
    <w:lvl w:ilvl="0" w:tplc="38820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398228">
    <w:abstractNumId w:val="713982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5104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