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ANDRÁS CSEH</w:t>
            </w:r>
          </w:p>
          <w:p w:rsidR="00C275A3" w:rsidRDefault="00A96AEC" w:rsidP="00C275A3">
            <w:pPr>
              <w:pStyle w:val="Hallgatokepzes"/>
            </w:pPr>
            <w:r>
              <w:t>faculty of law</w:t>
            </w:r>
            <w:r>
              <w:br/>
            </w:r>
            <w:r w:rsidR="00E77B23">
              <w:t>Unified, 7.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Mikó </w:t>
            </w:r>
          </w:p>
          <w:p w:rsidR="00DB4822" w:rsidRDefault="00DB4822" w:rsidP="009763E0">
            <w:pPr>
              <w:pStyle w:val="Konzulensektitulus"/>
            </w:pPr>
            <w:r w:rsidRPr="00DB4822">
              <w:t>visiting lecturer,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rules of foreigner persons' acquisition of land ownership in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act of no. CXXII. of 2013 has been became generally known as the new landlaw of Hungary. Since it’s passed it is loudly critisized by some political and professional sides. The most robustic critics claim it to sell the high quality arable lands to foreigners, others are concerned by the limitation of the will. The troubles and the special subject can make the well-informed person unsure too, to adjudge the new landlaw. The new act tries to suit both the EU’s norms and to protect the hungarian arable lands and the hungarian farmers’ interests.</w:t>
      </w:r>
      <w:r>
        <w:rPr>
          <w:color w:val="000000"/>
          <w:sz w:val="24"/>
          <w:szCs w:val="24"/>
        </w:rPr>
        <w:br/>
        <w:t xml:space="preserve">I have been examining the propertyaquire’s rules especially for the outsiders focusing on the relevant elements of the new regulation. My purpose are besides to submit the acquire conditions to show the new act’s pattern from Europe and analyse the takeover’s social and economic reasons.</w:t>
      </w:r>
      <w:r>
        <w:rPr>
          <w:color w:val="000000"/>
          <w:sz w:val="24"/>
          <w:szCs w:val="24"/>
        </w:rPr>
        <w:br/>
        <w:t xml:space="preserve">The new act’s prosperity will be conclusioned only by the future, but the western patterns has already proved to succesfully. In my oppinion a strict, land-focused rule has come into effect.</w:t>
      </w:r>
      <w:r>
        <w:rPr>
          <w:color w:val="000000"/>
          <w:sz w:val="24"/>
          <w:szCs w:val="24"/>
        </w:rPr>
        <w:br/>
        <w:t xml:space="preserve">At the last session of my essay I have been writing about the advantages and disadvantages of the foreigners’ arable property in Hungary, the incosistent rules of the legal entities and suggesting de lege ferenda.</w:t>
      </w:r>
      <w:r>
        <w:rPr>
          <w:color w:val="000000"/>
          <w:sz w:val="24"/>
          <w:szCs w:val="24"/>
        </w:rPr>
        <w:br/>
        <w:t xml:space="preserve">With my final conclusion I have been responding to some critics: why would be a problem to receive english, belgian or italian farmers, if they would live here and work on the hungarian ground, moreover they could bring new technologies. The emphasis should be to tie the speculation, the nationality should be subsidiary viewpoint according my oppinion.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85846">
    <w:multiLevelType w:val="hybridMultilevel"/>
    <w:lvl w:ilvl="0" w:tplc="13707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85846">
    <w:abstractNumId w:val="636858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576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